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28C0E" w14:textId="30B121C9" w:rsidR="00894C55" w:rsidRPr="00FC4F45" w:rsidRDefault="00575CA3" w:rsidP="00894C55">
      <w:pPr>
        <w:shd w:val="clear" w:color="auto" w:fill="FFFFFF"/>
        <w:spacing w:after="0" w:line="240" w:lineRule="auto"/>
        <w:jc w:val="center"/>
        <w:rPr>
          <w:rFonts w:ascii="Times New Roman" w:hAnsi="Times New Roman"/>
          <w:b/>
          <w:sz w:val="28"/>
        </w:rPr>
      </w:pPr>
      <w:r>
        <w:rPr>
          <w:rFonts w:ascii="Times New Roman" w:hAnsi="Times New Roman"/>
          <w:b/>
          <w:sz w:val="28"/>
        </w:rPr>
        <w:t>Ministru kabineta n</w:t>
      </w:r>
      <w:r w:rsidR="006616A2">
        <w:rPr>
          <w:rFonts w:ascii="Times New Roman" w:hAnsi="Times New Roman"/>
          <w:b/>
          <w:sz w:val="28"/>
        </w:rPr>
        <w:t xml:space="preserve">oteikumu </w:t>
      </w:r>
      <w:r w:rsidR="00BD6123" w:rsidRPr="00FC4F45">
        <w:rPr>
          <w:rFonts w:ascii="Times New Roman" w:hAnsi="Times New Roman"/>
          <w:b/>
          <w:sz w:val="28"/>
        </w:rPr>
        <w:t>„</w:t>
      </w:r>
      <w:r w:rsidR="00140784" w:rsidRPr="00140784">
        <w:t xml:space="preserve"> </w:t>
      </w:r>
      <w:r w:rsidR="00140784" w:rsidRPr="00140784">
        <w:rPr>
          <w:rFonts w:ascii="Times New Roman" w:hAnsi="Times New Roman"/>
          <w:b/>
          <w:sz w:val="28"/>
        </w:rPr>
        <w:t>Grozījumi Ministru kabineta 2010. gada 20. jūlija noteikumos Nr. 657 „Kārtība, kādā izsniedz vai atsaka izsniegt stratēģiskas nozīmes preču licences un citus ar stratēģiskas nozīmes preču apriti saistītos dokumentus”</w:t>
      </w:r>
      <w:r w:rsidR="00BD6123" w:rsidRPr="00FC4F45">
        <w:rPr>
          <w:rFonts w:ascii="Times New Roman" w:hAnsi="Times New Roman"/>
          <w:b/>
          <w:sz w:val="28"/>
        </w:rPr>
        <w:t>”</w:t>
      </w:r>
      <w:r>
        <w:rPr>
          <w:rFonts w:ascii="Times New Roman" w:hAnsi="Times New Roman"/>
          <w:b/>
          <w:sz w:val="28"/>
        </w:rPr>
        <w:t xml:space="preserve"> projekta</w:t>
      </w:r>
      <w:r w:rsidR="00572518">
        <w:rPr>
          <w:rFonts w:ascii="Times New Roman" w:hAnsi="Times New Roman"/>
          <w:b/>
          <w:sz w:val="28"/>
        </w:rPr>
        <w:t xml:space="preserve"> un Ministru kabineta noteikumu </w:t>
      </w:r>
      <w:r w:rsidR="00572518" w:rsidRPr="00FC4F45">
        <w:rPr>
          <w:rFonts w:ascii="Times New Roman" w:hAnsi="Times New Roman"/>
          <w:b/>
          <w:sz w:val="28"/>
        </w:rPr>
        <w:t>„</w:t>
      </w:r>
      <w:r w:rsidR="00572518" w:rsidRPr="00140784">
        <w:rPr>
          <w:rFonts w:ascii="Times New Roman" w:hAnsi="Times New Roman"/>
          <w:b/>
          <w:sz w:val="28"/>
        </w:rPr>
        <w:t>Grozījumi Ministru kabineta 2010. gada 20. jūlija noteikumos Nr. 65</w:t>
      </w:r>
      <w:r w:rsidR="00572518">
        <w:rPr>
          <w:rFonts w:ascii="Times New Roman" w:hAnsi="Times New Roman"/>
          <w:b/>
          <w:sz w:val="28"/>
        </w:rPr>
        <w:t>6</w:t>
      </w:r>
      <w:r w:rsidR="00572518" w:rsidRPr="00140784">
        <w:rPr>
          <w:rFonts w:ascii="Times New Roman" w:hAnsi="Times New Roman"/>
          <w:b/>
          <w:sz w:val="28"/>
        </w:rPr>
        <w:t xml:space="preserve"> </w:t>
      </w:r>
      <w:r w:rsidR="00572518">
        <w:rPr>
          <w:rFonts w:ascii="Times New Roman" w:hAnsi="Times New Roman"/>
          <w:b/>
          <w:sz w:val="28"/>
        </w:rPr>
        <w:t>“</w:t>
      </w:r>
      <w:r w:rsidR="00572518" w:rsidRPr="00572518">
        <w:rPr>
          <w:rFonts w:ascii="Times New Roman" w:hAnsi="Times New Roman"/>
          <w:b/>
          <w:sz w:val="28"/>
        </w:rPr>
        <w:t>Noteikumi par valsts nodevu par stratēģiskas nozīmes preču eksperta izziņas, galīgā izlietojuma apliecinājuma, importa sertifikāta, piegādes kontroles sertifikāta un stratēģiskas nozīmes preču pārvietošanas, eksporta, importa un tranzīta licences izsniegšanu</w:t>
      </w:r>
      <w:r w:rsidR="00572518">
        <w:rPr>
          <w:rFonts w:ascii="Times New Roman" w:hAnsi="Times New Roman"/>
          <w:b/>
          <w:sz w:val="28"/>
        </w:rPr>
        <w:t>”</w:t>
      </w:r>
      <w:r w:rsidR="000A7C6E">
        <w:rPr>
          <w:rFonts w:ascii="Times New Roman" w:hAnsi="Times New Roman"/>
          <w:b/>
          <w:sz w:val="28"/>
        </w:rPr>
        <w:t>”</w:t>
      </w:r>
      <w:r w:rsidR="00572518">
        <w:rPr>
          <w:rFonts w:ascii="Times New Roman" w:hAnsi="Times New Roman"/>
          <w:b/>
          <w:sz w:val="28"/>
        </w:rPr>
        <w:t xml:space="preserve"> projekta </w:t>
      </w:r>
      <w:r w:rsidR="00894C55" w:rsidRPr="00FC4F45">
        <w:rPr>
          <w:rFonts w:ascii="Times New Roman" w:hAnsi="Times New Roman"/>
          <w:b/>
          <w:sz w:val="28"/>
        </w:rPr>
        <w:t>sākotnējās ietekmes novērtējuma ziņojums (anotācija)</w:t>
      </w:r>
    </w:p>
    <w:p w14:paraId="71FBFF8E" w14:textId="77777777" w:rsidR="00B87D04" w:rsidRPr="005026D5" w:rsidRDefault="00B87D04" w:rsidP="00B87D04">
      <w:pPr>
        <w:shd w:val="clear" w:color="auto" w:fill="FFFFFF"/>
        <w:spacing w:after="0" w:line="240" w:lineRule="auto"/>
        <w:jc w:val="center"/>
        <w:rPr>
          <w:rFonts w:ascii="Times New Roman" w:eastAsia="Times New Roman" w:hAnsi="Times New Roman" w:cs="Times New Roman"/>
          <w:b/>
          <w:b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87D04" w:rsidRPr="00705876" w14:paraId="5652EFA2" w14:textId="77777777" w:rsidTr="00AB5E4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87DDC0" w14:textId="77777777" w:rsidR="00B87D04" w:rsidRPr="00705876" w:rsidRDefault="00B87D04" w:rsidP="00AB5E48">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Tiesību akta projekta anotācijas kopsavilkums</w:t>
            </w:r>
          </w:p>
        </w:tc>
      </w:tr>
      <w:tr w:rsidR="00B87D04" w:rsidRPr="00705876" w14:paraId="6E5457DC" w14:textId="77777777" w:rsidTr="00AB5E48">
        <w:trPr>
          <w:trHeight w:val="1339"/>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BFEE72" w14:textId="77777777" w:rsidR="00B87D04" w:rsidRPr="00705876" w:rsidRDefault="00B87D04" w:rsidP="00AB5E48">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429B80" w14:textId="5EC5E94D" w:rsidR="00B87D04" w:rsidRPr="00506C64" w:rsidRDefault="0085618B" w:rsidP="00484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Apvienotā anotācija sagatavota n</w:t>
            </w:r>
            <w:r w:rsidR="00DD4B6C">
              <w:rPr>
                <w:rFonts w:ascii="Times New Roman" w:hAnsi="Times New Roman" w:cs="Times New Roman"/>
                <w:sz w:val="24"/>
                <w:szCs w:val="24"/>
              </w:rPr>
              <w:t>oteikumu projekt</w:t>
            </w:r>
            <w:r>
              <w:rPr>
                <w:rFonts w:ascii="Times New Roman" w:hAnsi="Times New Roman" w:cs="Times New Roman"/>
                <w:sz w:val="24"/>
                <w:szCs w:val="24"/>
              </w:rPr>
              <w:t>iem, kuru</w:t>
            </w:r>
            <w:r w:rsidR="00DD4B6C">
              <w:rPr>
                <w:rFonts w:ascii="Times New Roman" w:hAnsi="Times New Roman" w:cs="Times New Roman"/>
                <w:sz w:val="24"/>
                <w:szCs w:val="24"/>
              </w:rPr>
              <w:t xml:space="preserve"> mērķis ir atvieglot divējāda lietojuma preču importu. Lai to realizētu, tiek ieviesta vispārējā importa licence</w:t>
            </w:r>
            <w:r w:rsidR="00C333EE">
              <w:rPr>
                <w:rFonts w:ascii="Times New Roman" w:hAnsi="Times New Roman" w:cs="Times New Roman"/>
                <w:sz w:val="24"/>
                <w:szCs w:val="24"/>
              </w:rPr>
              <w:t xml:space="preserve"> un valsts vispārējā importa licence</w:t>
            </w:r>
            <w:r w:rsidR="00DD4B6C">
              <w:rPr>
                <w:rFonts w:ascii="Times New Roman" w:hAnsi="Times New Roman" w:cs="Times New Roman"/>
                <w:sz w:val="24"/>
                <w:szCs w:val="24"/>
              </w:rPr>
              <w:t>, kas ļaus komersantiem ar vienu licenci ievest noteiktu preču daudzumu viena gada garumā. Licence nebūs jāsaņem katram atsevišķam sūtījumam.</w:t>
            </w:r>
            <w:r w:rsidR="00484882" w:rsidRPr="00506C64">
              <w:rPr>
                <w:rFonts w:ascii="Times New Roman" w:hAnsi="Times New Roman" w:cs="Times New Roman"/>
                <w:sz w:val="24"/>
                <w:szCs w:val="24"/>
              </w:rPr>
              <w:t xml:space="preserve"> </w:t>
            </w:r>
            <w:r w:rsidR="00DD4B6C">
              <w:rPr>
                <w:rFonts w:ascii="Times New Roman" w:hAnsi="Times New Roman" w:cs="Times New Roman"/>
                <w:sz w:val="24"/>
                <w:szCs w:val="24"/>
              </w:rPr>
              <w:t>Papildus tiek ieviesta nodeva šīs licences saņemšanai.</w:t>
            </w:r>
          </w:p>
        </w:tc>
      </w:tr>
    </w:tbl>
    <w:p w14:paraId="74D3C3C2" w14:textId="77777777" w:rsidR="00E5323B" w:rsidRPr="00FC4F45" w:rsidRDefault="00E5323B" w:rsidP="00E5323B">
      <w:pPr>
        <w:spacing w:after="0" w:line="240" w:lineRule="auto"/>
        <w:rPr>
          <w:rFonts w:ascii="Times New Roman" w:hAnsi="Times New Roman"/>
          <w:sz w:val="16"/>
        </w:rPr>
      </w:pPr>
      <w:r w:rsidRPr="00FC4F45">
        <w:rPr>
          <w:rFonts w:ascii="Times New Roman" w:hAnsi="Times New Roman"/>
          <w:sz w:val="1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BD6123" w14:paraId="44BE5C52" w14:textId="77777777" w:rsidTr="00FC4F4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9DF09" w14:textId="77777777" w:rsidR="00655F2C" w:rsidRPr="00FC4F45" w:rsidRDefault="00E5323B" w:rsidP="00E5323B">
            <w:pPr>
              <w:spacing w:after="0" w:line="240" w:lineRule="auto"/>
              <w:rPr>
                <w:rFonts w:ascii="Times New Roman" w:hAnsi="Times New Roman"/>
                <w:b/>
                <w:sz w:val="24"/>
              </w:rPr>
            </w:pPr>
            <w:r w:rsidRPr="00FC4F45">
              <w:rPr>
                <w:rFonts w:ascii="Times New Roman" w:hAnsi="Times New Roman"/>
                <w:b/>
                <w:sz w:val="24"/>
              </w:rPr>
              <w:t>I. Tiesību akta projekta izstrādes nepieciešamība</w:t>
            </w:r>
          </w:p>
        </w:tc>
      </w:tr>
      <w:tr w:rsidR="00BD6123" w:rsidRPr="00BD6123" w14:paraId="709D1DF2"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89FF6"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1.</w:t>
            </w:r>
          </w:p>
        </w:tc>
        <w:tc>
          <w:tcPr>
            <w:tcW w:w="1678" w:type="pct"/>
            <w:tcBorders>
              <w:top w:val="outset" w:sz="6" w:space="0" w:color="auto"/>
              <w:left w:val="outset" w:sz="6" w:space="0" w:color="auto"/>
              <w:bottom w:val="outset" w:sz="6" w:space="0" w:color="auto"/>
              <w:right w:val="outset" w:sz="6" w:space="0" w:color="auto"/>
            </w:tcBorders>
            <w:hideMark/>
          </w:tcPr>
          <w:p w14:paraId="584D88F7"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Pamatojums</w:t>
            </w:r>
          </w:p>
        </w:tc>
        <w:tc>
          <w:tcPr>
            <w:tcW w:w="2961" w:type="pct"/>
            <w:tcBorders>
              <w:top w:val="outset" w:sz="6" w:space="0" w:color="auto"/>
              <w:left w:val="outset" w:sz="6" w:space="0" w:color="auto"/>
              <w:bottom w:val="outset" w:sz="6" w:space="0" w:color="auto"/>
              <w:right w:val="outset" w:sz="6" w:space="0" w:color="auto"/>
            </w:tcBorders>
          </w:tcPr>
          <w:p w14:paraId="318C5B73" w14:textId="04DF88D3" w:rsidR="00E5323B" w:rsidRPr="00FC4F45" w:rsidRDefault="00DD4B6C" w:rsidP="00D57FE2">
            <w:pPr>
              <w:pStyle w:val="naiskr"/>
              <w:spacing w:before="20" w:after="0"/>
              <w:jc w:val="both"/>
            </w:pPr>
            <w:r w:rsidRPr="00DD4B6C">
              <w:t>Ministru kabineta noteikumu „ Grozījumi Ministru kabineta 2010. gada 20. jūlija noteikumos Nr. 657 „Kārtība, kādā izsniedz vai atsaka izsniegt stratēģiskas nozīmes preču licences un citus ar stratēģiskas nozīmes preču apriti saistītos dokumentus”” projekt</w:t>
            </w:r>
            <w:r>
              <w:t>s</w:t>
            </w:r>
            <w:r w:rsidR="0085618B">
              <w:t xml:space="preserve"> (turpmāk – noteikumu projekts)</w:t>
            </w:r>
            <w:r w:rsidRPr="00DD4B6C">
              <w:t xml:space="preserve"> un Ministru kabineta noteikumu „Grozījumi Ministru kabineta 2010. gada 20. jūlija noteikumos Nr. 656 “Noteikumi par valsts nodevu par stratēģiskas nozīmes preču eksperta izziņas, galīgā izlietojuma apliecinājuma, importa sertifikāta, piegādes kontroles sertifikāta un stratēģiskas nozīmes preču pārvietošanas, eksporta, importa un tranzīta licences izsniegšanu” projekt</w:t>
            </w:r>
            <w:r>
              <w:t>s</w:t>
            </w:r>
            <w:r w:rsidR="0085618B">
              <w:t xml:space="preserve"> (turpmāk – nodevu noteikumu projekts)</w:t>
            </w:r>
            <w:r>
              <w:t xml:space="preserve"> </w:t>
            </w:r>
            <w:r w:rsidRPr="00745756">
              <w:t>ir sagatavots</w:t>
            </w:r>
            <w:r w:rsidR="00BB4162">
              <w:t xml:space="preserve"> pēc </w:t>
            </w:r>
            <w:r w:rsidRPr="00745756">
              <w:t xml:space="preserve"> </w:t>
            </w:r>
            <w:r w:rsidR="00BB4162">
              <w:t xml:space="preserve">Ārlietu ministrijas iniciatīvas, ievērojot </w:t>
            </w:r>
            <w:r w:rsidR="001B16B5" w:rsidRPr="00745756">
              <w:t>Stratēģiskas nozīmes preču aprites likuma</w:t>
            </w:r>
            <w:r w:rsidR="00521B12" w:rsidRPr="00745756">
              <w:t xml:space="preserve"> (turpmāk – likums)</w:t>
            </w:r>
            <w:r w:rsidR="001B16B5" w:rsidRPr="00745756">
              <w:t xml:space="preserve"> 12.panta pirmo daļu, Ministru kabineta 2009. gada 4. augusta noteikumu Nr.866 “Stratēģiskas nozīmes preču kontroles komitejas nolikums” 2.1. apakšpunktu</w:t>
            </w:r>
            <w:r w:rsidR="007A7C1D">
              <w:t>, 17.punktu</w:t>
            </w:r>
            <w:r w:rsidR="00D57FE2">
              <w:t>,</w:t>
            </w:r>
            <w:r w:rsidR="001B16B5" w:rsidRPr="00745756">
              <w:t xml:space="preserve"> 2020. gada 10. jūnija Stratēģiskas nozīmes preču kontroles komitejas sēdes protokola Nr.103 6.punktu</w:t>
            </w:r>
            <w:r w:rsidR="00D57FE2">
              <w:t xml:space="preserve"> un </w:t>
            </w:r>
            <w:r w:rsidR="00D57FE2" w:rsidRPr="00745756">
              <w:t xml:space="preserve">2020. gada </w:t>
            </w:r>
            <w:r w:rsidR="00D57FE2">
              <w:t>11</w:t>
            </w:r>
            <w:r w:rsidR="00D57FE2" w:rsidRPr="00745756">
              <w:t xml:space="preserve">. </w:t>
            </w:r>
            <w:r w:rsidR="00D57FE2">
              <w:t>septembra</w:t>
            </w:r>
            <w:r w:rsidR="00D57FE2" w:rsidRPr="00745756">
              <w:t xml:space="preserve"> Stratēģiskas nozīmes preču kontroles komitejas sēdes protokola Nr.10</w:t>
            </w:r>
            <w:r w:rsidR="00D57FE2">
              <w:t>4</w:t>
            </w:r>
            <w:r w:rsidR="00D57FE2" w:rsidRPr="00745756">
              <w:t xml:space="preserve"> 6.punktu</w:t>
            </w:r>
            <w:r w:rsidR="001B16B5" w:rsidRPr="00745756">
              <w:t>.</w:t>
            </w:r>
            <w:r w:rsidR="001B16B5">
              <w:t xml:space="preserve"> </w:t>
            </w:r>
          </w:p>
        </w:tc>
      </w:tr>
      <w:tr w:rsidR="00BD6123" w:rsidRPr="00BD6123" w14:paraId="12D6186B"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2BE94"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6A622BC"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1DF7ADB7" w14:textId="62652199" w:rsidR="00EB26D9" w:rsidRDefault="00324F9C" w:rsidP="00324F9C">
            <w:pPr>
              <w:pStyle w:val="naiskr"/>
              <w:spacing w:after="0"/>
              <w:jc w:val="both"/>
            </w:pPr>
            <w:r>
              <w:t xml:space="preserve">1. </w:t>
            </w:r>
            <w:r w:rsidR="00BD6123" w:rsidRPr="00FC4F45">
              <w:t xml:space="preserve">Saskaņā ar </w:t>
            </w:r>
            <w:r>
              <w:t xml:space="preserve">likuma 3.panta otro daļu, Stratēģiskas nozīmes preču kontroles komitejas (turpmāk – komiteja) izsniegta stratēģiskas nozīmes preču licence ir nepieciešama katram Padomes 2009.gada 5.maija regulas (EK) Nr.428/2009, ar ko izveido Kopienas režīmu divējāda lietojuma preču eksporta, pārvadājumu, starpniecības un tranzīta kontrolei (turpmāk — Regula 428/2009), 1.pielikumā minēto preču importa sūtījumam. </w:t>
            </w:r>
            <w:r w:rsidR="00712801">
              <w:t xml:space="preserve">Minētais regulējums nedod iespējas komersantiem saņemt vienu licenci, kura dotu iespēju ievest divējāda lietojuma preces jebkurā dienā vai mēnesī gada periodā. Ja Latvijas ražotājam ir nepieciešamas divējāda lietojuma rezerves daļas, kas tiek ievestas, piemēram, reizi mēnesī, tad saskaņā ar šā brīža regulējumu, komersantam nepieciešamas 12 licences gadā, kas nodevu maksājumos var </w:t>
            </w:r>
            <w:r w:rsidR="00745756">
              <w:t xml:space="preserve">veidot </w:t>
            </w:r>
            <w:r w:rsidR="00712801">
              <w:t>maksimālo summu līdz 8500 EUR. Šāds nodevas slogs var traucēt Latvijas ražotājiem konkurēt ar citu valstu ražotājiem, ņemot vērā, ka viena produkta ražošanas izmaksas sadārdzinās uz</w:t>
            </w:r>
            <w:r w:rsidR="00E75B9C">
              <w:t xml:space="preserve"> licenču</w:t>
            </w:r>
            <w:r w:rsidR="00712801">
              <w:t xml:space="preserve"> </w:t>
            </w:r>
            <w:r w:rsidR="00E75B9C">
              <w:t xml:space="preserve">nodevas </w:t>
            </w:r>
            <w:r w:rsidR="00745756">
              <w:t>dēļ</w:t>
            </w:r>
            <w:r w:rsidR="00E75B9C">
              <w:t>.</w:t>
            </w:r>
          </w:p>
          <w:p w14:paraId="2A278C49" w14:textId="77777777" w:rsidR="00CD457E" w:rsidRDefault="00CD457E" w:rsidP="00CD457E">
            <w:pPr>
              <w:pStyle w:val="naiskr"/>
              <w:spacing w:after="0"/>
              <w:jc w:val="both"/>
            </w:pPr>
          </w:p>
          <w:p w14:paraId="35BDCC14" w14:textId="2B272FCC" w:rsidR="00CD457E" w:rsidRDefault="00E75B9C" w:rsidP="00CD457E">
            <w:pPr>
              <w:pStyle w:val="naiskr"/>
              <w:spacing w:after="0"/>
              <w:jc w:val="both"/>
            </w:pPr>
            <w:r>
              <w:t xml:space="preserve">2. </w:t>
            </w:r>
            <w:r w:rsidR="00CD457E">
              <w:t>Lai atvieglotu nodevu slogu Latvijas ražotājiem, likuma 4.panta sestā daļa paredz atvieglojumus, ja divējāda lietojuma preces importē no Regulas 428/2009 2.a-2.f pielikumā minētajām valstīm. Minētajos pielikumos ir atvieglojumi importam no tādām valstīm, kā ASV, Kanāda, Šveice, Norvēģija, Austrālija, Jaunzēlande un Japāna. Veicot statistisko importa licenču analīzi, kā arī veicot pārrunas ar Latvijas ražotājiem, komiteja secināja, ka komersanti ir būtiski samazinājuši divējāda lietojuma preču importu no ASV, Kanādas, Šveices ņemot vērā produkcijas augsto cenu. Tā vietā ir palielinājies divējāda lietojuma preču import</w:t>
            </w:r>
            <w:r w:rsidR="00383A0C">
              <w:t>s</w:t>
            </w:r>
            <w:r w:rsidR="00CD457E">
              <w:t xml:space="preserve"> no Ķīnas, kura nav iekļauta starp Regulas 428/2009 2.a-2.f pielikumā minētajām valstīm. Tā rezultātā, likuma 4.panta sestajā daļā paredzētais atvieglojums daudzos gadījumos netiek izmantots.</w:t>
            </w:r>
          </w:p>
          <w:p w14:paraId="35E27A1C" w14:textId="77777777" w:rsidR="00CD457E" w:rsidRDefault="00CD457E" w:rsidP="00CD457E">
            <w:pPr>
              <w:pStyle w:val="naiskr"/>
              <w:spacing w:after="0"/>
              <w:jc w:val="both"/>
            </w:pPr>
          </w:p>
          <w:p w14:paraId="200825C2" w14:textId="7BCEA6B6" w:rsidR="00CA0865" w:rsidRDefault="00CD457E" w:rsidP="00CA0865">
            <w:pPr>
              <w:pStyle w:val="naiskr"/>
              <w:spacing w:after="0"/>
              <w:jc w:val="both"/>
            </w:pPr>
            <w:r>
              <w:t xml:space="preserve">3. </w:t>
            </w:r>
            <w:r w:rsidR="00CA0865">
              <w:t>Pēdējos 5 gados komiteja ir izsniegusi 94 importa licences divējāda lietojuma preču importam Latvijā (19 licences gadā).</w:t>
            </w:r>
            <w:r w:rsidR="004F366C">
              <w:t xml:space="preserve">  </w:t>
            </w:r>
            <w:r w:rsidR="00CA0865">
              <w:t>91 importa licence ir izsniegta Latvijas uzņēmumiem, kas attiecīgās preces ražo vai lieto pētījumu veikšanai.</w:t>
            </w:r>
            <w:r w:rsidR="004F366C">
              <w:t xml:space="preserve"> </w:t>
            </w:r>
            <w:r w:rsidR="00CA0865">
              <w:t>Tikai 3 importa licences ir izsniegtas uzņēmumiem, kas preces vēlējās re-eksportēt ārpus Eiropas Savienības (2 licences no Ķīnas un 1 licence no Krievijas).</w:t>
            </w:r>
            <w:r w:rsidR="004F366C">
              <w:t xml:space="preserve"> </w:t>
            </w:r>
            <w:r w:rsidR="00CA0865">
              <w:t>66 importa licences (70 %) ir izsniegtas piegādēm no Ķīnas. Importētās preces ietver elektronik</w:t>
            </w:r>
            <w:r w:rsidR="004F366C">
              <w:t>u</w:t>
            </w:r>
            <w:r w:rsidR="00CA0865">
              <w:t>, kriodzesētāj</w:t>
            </w:r>
            <w:r w:rsidR="004F366C">
              <w:t>us</w:t>
            </w:r>
            <w:r w:rsidR="00CA0865">
              <w:t>, ķīmisk</w:t>
            </w:r>
            <w:r w:rsidR="004F366C">
              <w:t>o</w:t>
            </w:r>
            <w:r w:rsidR="00CA0865">
              <w:t xml:space="preserve"> rūpniecīb</w:t>
            </w:r>
            <w:r w:rsidR="004F366C">
              <w:t>u</w:t>
            </w:r>
            <w:r w:rsidR="00CA0865">
              <w:t>, kameras un bezpilota lidaparātu komponentes.</w:t>
            </w:r>
            <w:r w:rsidR="004F366C">
              <w:t xml:space="preserve"> </w:t>
            </w:r>
            <w:r w:rsidR="00CA0865">
              <w:t xml:space="preserve">Licenču </w:t>
            </w:r>
            <w:r w:rsidR="00CA0865">
              <w:lastRenderedPageBreak/>
              <w:t>skaits sadalījumā pa valstīm, no kurām importē: Ķīna – 66, Izraēla – 7; Baltkrievija – 6; Krievija – 6; Ukraina – 4; Singapūra – 2; Meksika – 1; Turcija – 1; Koreja -1.</w:t>
            </w:r>
            <w:r w:rsidR="004F366C">
              <w:t xml:space="preserve"> </w:t>
            </w:r>
            <w:r w:rsidR="00CA0865">
              <w:t>Sadalījumā pa uzņēmumiem, 30 importa licences ir izsniegtas elektronisko komponenšu piegādei universitātēm un vietējiem ražotājiem. 18 importa licences ir izsniegtas SIA Baltic Scientific Instruments kriodzesētāju piegādēm savas produkcijas ražošanai. 13 importa licences ir izsniegtas SIA Olainfarm ķīmisko preču piegādēm savas farmācijas produkcijas ražošanai. 10 importa licences ir izsniegtas SIA UAV Factory komponenšu piegādēm savas bezpilota produkcijas ražošanai.</w:t>
            </w:r>
          </w:p>
          <w:p w14:paraId="739D55B5" w14:textId="5CC6E46A" w:rsidR="00CA0865" w:rsidRDefault="00CA0865" w:rsidP="00CA0865">
            <w:pPr>
              <w:pStyle w:val="naiskr"/>
              <w:spacing w:after="0"/>
              <w:jc w:val="both"/>
            </w:pPr>
            <w:r>
              <w:t xml:space="preserve">Naudas izteiksmē 5 gadu laikā par divējāda lietojuma preču importa licencēm ir iekasēti 20 000 </w:t>
            </w:r>
            <w:r w:rsidR="00195766">
              <w:t>EUR</w:t>
            </w:r>
            <w:r>
              <w:t>.</w:t>
            </w:r>
          </w:p>
          <w:p w14:paraId="75EDFB39" w14:textId="04EF20FD" w:rsidR="00CA0865" w:rsidRDefault="00CA0865" w:rsidP="00CA0865">
            <w:pPr>
              <w:pStyle w:val="naiskr"/>
              <w:spacing w:after="0"/>
              <w:jc w:val="both"/>
            </w:pPr>
            <w:r>
              <w:t xml:space="preserve">2020. gadā SIA “Mikrotīkls” valsts nodevās par 5 divējāda lietojuma preču importa licencēm ir samaksājis 3557,20 </w:t>
            </w:r>
            <w:r w:rsidR="00195766">
              <w:t>EUR</w:t>
            </w:r>
            <w:r>
              <w:t>.</w:t>
            </w:r>
          </w:p>
          <w:p w14:paraId="1B94E423" w14:textId="77777777" w:rsidR="00CD457E" w:rsidRDefault="00CA0865" w:rsidP="00CA0865">
            <w:pPr>
              <w:pStyle w:val="naiskr"/>
              <w:spacing w:after="0"/>
              <w:jc w:val="both"/>
            </w:pPr>
            <w:r>
              <w:t>Kopsavilkums: 97% importa licenču tiek izsniegtas, lai preces tiktu piegādātas Latvijas lietotājiem/ražotājiem.</w:t>
            </w:r>
          </w:p>
          <w:p w14:paraId="4A9D9906" w14:textId="77777777" w:rsidR="004F366C" w:rsidRDefault="004F366C" w:rsidP="00CA0865">
            <w:pPr>
              <w:pStyle w:val="naiskr"/>
              <w:spacing w:after="0"/>
              <w:jc w:val="both"/>
            </w:pPr>
          </w:p>
          <w:p w14:paraId="67810507" w14:textId="2BFFC453" w:rsidR="00BD4CA3" w:rsidRDefault="004F366C" w:rsidP="00CA0865">
            <w:pPr>
              <w:pStyle w:val="naiskr"/>
              <w:spacing w:after="0"/>
              <w:jc w:val="both"/>
            </w:pPr>
            <w:r>
              <w:t>4. Noteikumu projekts paredz ieviest jaunu licences veidu – vispārējā importa licence. Tas dos iespēju komersantiem ievest noteiktu divējāda lietojuma preču skaitu viena gada periodā neskaitāmos sūtījumos (reizi mēnesī, nedēļā, u</w:t>
            </w:r>
            <w:r w:rsidR="00195766">
              <w:t>.</w:t>
            </w:r>
            <w:r>
              <w:t>tml.) – nebūs nepieciešams saņemt licenci katram individuālam importa sūtījumam.</w:t>
            </w:r>
          </w:p>
          <w:p w14:paraId="5898923A" w14:textId="77777777" w:rsidR="004F366C" w:rsidRDefault="004F366C" w:rsidP="00CA0865">
            <w:pPr>
              <w:pStyle w:val="naiskr"/>
              <w:spacing w:after="0"/>
              <w:jc w:val="both"/>
            </w:pPr>
          </w:p>
          <w:p w14:paraId="24123E1D" w14:textId="4D0CB7C4" w:rsidR="004F366C" w:rsidRDefault="004F366C" w:rsidP="00CA0865">
            <w:pPr>
              <w:pStyle w:val="naiskr"/>
              <w:spacing w:after="0"/>
              <w:jc w:val="both"/>
            </w:pPr>
            <w:r>
              <w:t>5. Ņemot vērā, ka par importa licenci ir paredzēta valsts nodeva, nodevu noteikumu projekts paredz valsts nodevu arī par vispārējo importa licences izsniegšanu. Valsts nodevas apmērs ir līdzvērtīgs importa licences nodevas apmēram.</w:t>
            </w:r>
          </w:p>
          <w:p w14:paraId="7BF2B490" w14:textId="65BE10DB" w:rsidR="00BD4CA3" w:rsidRDefault="00BD4CA3" w:rsidP="00CA0865">
            <w:pPr>
              <w:pStyle w:val="naiskr"/>
              <w:spacing w:after="0"/>
              <w:jc w:val="both"/>
            </w:pPr>
          </w:p>
          <w:p w14:paraId="47998C1B" w14:textId="775D8DCB" w:rsidR="00BD4CA3" w:rsidRDefault="00BD4CA3" w:rsidP="00CA0865">
            <w:pPr>
              <w:pStyle w:val="naiskr"/>
              <w:spacing w:after="0"/>
              <w:jc w:val="both"/>
            </w:pPr>
            <w:r>
              <w:t>6</w:t>
            </w:r>
            <w:r w:rsidRPr="00BD4CA3">
              <w:t>. Papildus noteikumu projekts paredz ieviest valsts vispārējo importa licenci. Šo licenci publicē Komiteja un tā paredz atvieglojumus importa licences prasībai konkrētu divējāda lietojuma preču kategorijai no konkrētām valstīm. Licence tiek ieviesta, lai pilnībā neatteiktos no divējāda lietojuma preču importa kontroles, bet tajā pašā laikā tas dod iespēju ražotājiem ievest noteiktas kategorijas preces bez licences. Valsts vispārējo importa licencē Komiteja var papildināt vai sašaurināt divējāda lietojuma preču kategorijas jebkurā brīdī ar Komitejas lēmumu, kā arī apturēt tās darbību gadījumos, ja minētās kategorijas ir nepieciešams kontrolēt drošības apsvērumu dēļ.</w:t>
            </w:r>
          </w:p>
          <w:p w14:paraId="08861C12" w14:textId="77777777" w:rsidR="004F366C" w:rsidRDefault="004F366C" w:rsidP="00CA0865">
            <w:pPr>
              <w:pStyle w:val="naiskr"/>
              <w:spacing w:after="0"/>
              <w:jc w:val="both"/>
            </w:pPr>
          </w:p>
          <w:p w14:paraId="4B2DAF03" w14:textId="426F9871" w:rsidR="004F366C" w:rsidRDefault="00BD4CA3" w:rsidP="00CA0865">
            <w:pPr>
              <w:pStyle w:val="naiskr"/>
              <w:spacing w:after="0"/>
              <w:jc w:val="both"/>
            </w:pPr>
            <w:r>
              <w:lastRenderedPageBreak/>
              <w:t>7</w:t>
            </w:r>
            <w:r w:rsidR="004F366C">
              <w:t>. 2020. gada 10. jūnijā notika kārtējā komitejas sēde, kurā tika izvirzīts ierosinājums ieviest vispārējo importa licenci. Saskaņā ar 2020. gada 10. jūnija komitejas sēdes protokol</w:t>
            </w:r>
            <w:r w:rsidR="0042265B">
              <w:t>a</w:t>
            </w:r>
            <w:r w:rsidR="004F366C">
              <w:t xml:space="preserve"> Nr.</w:t>
            </w:r>
            <w:r w:rsidR="0042265B">
              <w:t>103 6.punktu, komiteja atbalstīja minētās licences ieviešanu.</w:t>
            </w:r>
          </w:p>
          <w:p w14:paraId="396FE9DE" w14:textId="77777777" w:rsidR="00383A0C" w:rsidRDefault="00383A0C" w:rsidP="00CA0865">
            <w:pPr>
              <w:pStyle w:val="naiskr"/>
              <w:spacing w:after="0"/>
              <w:jc w:val="both"/>
            </w:pPr>
          </w:p>
          <w:p w14:paraId="51C4D4E3" w14:textId="4E37FCFE" w:rsidR="00BD4CA3" w:rsidRDefault="00BD4CA3" w:rsidP="00CA0865">
            <w:pPr>
              <w:pStyle w:val="naiskr"/>
              <w:spacing w:after="0"/>
              <w:jc w:val="both"/>
            </w:pPr>
            <w:r>
              <w:t>8</w:t>
            </w:r>
            <w:r w:rsidR="00383A0C">
              <w:t xml:space="preserve">. </w:t>
            </w:r>
            <w:r w:rsidRPr="00BD4CA3">
              <w:t xml:space="preserve">2020. gada </w:t>
            </w:r>
            <w:r>
              <w:t>11.septembrī</w:t>
            </w:r>
            <w:r w:rsidRPr="00BD4CA3">
              <w:t xml:space="preserve"> notika kārtējā komitejas sēde, kurā tika izvirzīts ierosinājums ieviest </w:t>
            </w:r>
            <w:r>
              <w:t xml:space="preserve">valsts </w:t>
            </w:r>
            <w:r w:rsidRPr="00BD4CA3">
              <w:t xml:space="preserve">vispārējo importa licenci. Saskaņā ar 2020. gada </w:t>
            </w:r>
            <w:r>
              <w:t>11.septembra</w:t>
            </w:r>
            <w:r w:rsidRPr="00BD4CA3">
              <w:t xml:space="preserve"> komitejas sēdes protokola Nr.</w:t>
            </w:r>
            <w:r>
              <w:t>104</w:t>
            </w:r>
            <w:r w:rsidRPr="00BD4CA3">
              <w:t xml:space="preserve"> 6.punktu, komiteja atbalstīja minētās licences ieviešanu.</w:t>
            </w:r>
          </w:p>
          <w:p w14:paraId="136FC221" w14:textId="77777777" w:rsidR="00BD4CA3" w:rsidRDefault="00BD4CA3" w:rsidP="00CA0865">
            <w:pPr>
              <w:pStyle w:val="naiskr"/>
              <w:spacing w:after="0"/>
              <w:jc w:val="both"/>
            </w:pPr>
          </w:p>
          <w:p w14:paraId="5CF263FB" w14:textId="50441193" w:rsidR="000C15A9" w:rsidRDefault="00BD4CA3" w:rsidP="00CA0865">
            <w:pPr>
              <w:pStyle w:val="naiskr"/>
              <w:spacing w:after="0"/>
              <w:jc w:val="both"/>
            </w:pPr>
            <w:r>
              <w:t xml:space="preserve">9. </w:t>
            </w:r>
            <w:r w:rsidR="00383A0C">
              <w:t>Noteikumu projekt</w:t>
            </w:r>
            <w:r w:rsidR="00925E3D">
              <w:t>ā</w:t>
            </w:r>
            <w:r w:rsidR="00383A0C">
              <w:t xml:space="preserve"> un nodevu noteikumu projekt</w:t>
            </w:r>
            <w:r w:rsidR="00925E3D">
              <w:t>ā paredzētās vispārējās un valsts vispārējās importa licences</w:t>
            </w:r>
            <w:r w:rsidR="00383A0C">
              <w:t xml:space="preserve"> nav attiecinām</w:t>
            </w:r>
            <w:r w:rsidR="00925E3D">
              <w:t>a</w:t>
            </w:r>
            <w:r w:rsidR="00383A0C">
              <w:t>s uz Eiropas Savienības vai citām starptautisko eksporta kontroles režīmu prasībām, ņemot vērā, ka divējāda lietojuma preču importa prasības netiek starptautiski regulētas.</w:t>
            </w:r>
            <w:r w:rsidR="003E3F2D">
              <w:t xml:space="preserve"> Starptautiskie regulējumi paredz tikai eksporta, tranzīta un starpniecības kontroli.</w:t>
            </w:r>
            <w:r w:rsidR="00383A0C">
              <w:t xml:space="preserve"> Importa regulējums tiek ieviests, izejot no katras valsts individuālās pieejas.</w:t>
            </w:r>
          </w:p>
          <w:p w14:paraId="2C8DDCF9" w14:textId="77777777" w:rsidR="00AD5D48" w:rsidRPr="00BD4CA3" w:rsidRDefault="00AD5D48" w:rsidP="00CA0865">
            <w:pPr>
              <w:pStyle w:val="naiskr"/>
              <w:spacing w:after="0"/>
              <w:jc w:val="both"/>
            </w:pPr>
          </w:p>
          <w:p w14:paraId="5E520263" w14:textId="77777777" w:rsidR="00AD5D48" w:rsidRPr="00A56FF6" w:rsidRDefault="00AD5D48" w:rsidP="00AD5D48">
            <w:pPr>
              <w:pStyle w:val="naiskr"/>
              <w:spacing w:after="0"/>
              <w:jc w:val="both"/>
            </w:pPr>
            <w:r w:rsidRPr="00A56FF6">
              <w:t>9. Ieņēmumi par stratēģiskas nozīmes preču aprites dokumentu izsniegšanu sadalījumā pa gadiem:</w:t>
            </w:r>
          </w:p>
          <w:p w14:paraId="0B3266CF" w14:textId="77777777" w:rsidR="00AD5D48" w:rsidRPr="00A56FF6" w:rsidRDefault="00AD5D48" w:rsidP="00AD5D48">
            <w:pPr>
              <w:pStyle w:val="naiskr"/>
              <w:spacing w:after="0"/>
              <w:jc w:val="both"/>
            </w:pPr>
            <w:r w:rsidRPr="00A56FF6">
              <w:t>2016.g. – 145 tūkst. EUR;</w:t>
            </w:r>
          </w:p>
          <w:p w14:paraId="279EDAAF" w14:textId="77777777" w:rsidR="00AD5D48" w:rsidRPr="00A56FF6" w:rsidRDefault="00AD5D48" w:rsidP="00AD5D48">
            <w:pPr>
              <w:pStyle w:val="naiskr"/>
              <w:spacing w:after="0"/>
              <w:jc w:val="both"/>
            </w:pPr>
            <w:r w:rsidRPr="00A56FF6">
              <w:t>2017.g. – 137 tūkst. EUR;</w:t>
            </w:r>
          </w:p>
          <w:p w14:paraId="143829FE" w14:textId="77777777" w:rsidR="00AD5D48" w:rsidRPr="00A56FF6" w:rsidRDefault="00AD5D48" w:rsidP="00AD5D48">
            <w:pPr>
              <w:pStyle w:val="naiskr"/>
              <w:spacing w:after="0"/>
              <w:jc w:val="both"/>
            </w:pPr>
            <w:r w:rsidRPr="00A56FF6">
              <w:t>2018.g. – 145 tūkst. EUR;</w:t>
            </w:r>
          </w:p>
          <w:p w14:paraId="49AFB483" w14:textId="77777777" w:rsidR="00AD5D48" w:rsidRPr="00A56FF6" w:rsidRDefault="00AD5D48" w:rsidP="00AD5D48">
            <w:pPr>
              <w:pStyle w:val="naiskr"/>
              <w:spacing w:after="0"/>
              <w:jc w:val="both"/>
            </w:pPr>
            <w:r w:rsidRPr="00A56FF6">
              <w:t>2019.g. – 143 tūkst EUR.</w:t>
            </w:r>
          </w:p>
          <w:p w14:paraId="6D214C3D" w14:textId="320EA0F3" w:rsidR="00AD5D48" w:rsidRPr="00A56FF6" w:rsidRDefault="00AD5D48" w:rsidP="00AD5D48">
            <w:pPr>
              <w:pStyle w:val="naiskr"/>
              <w:spacing w:after="0"/>
              <w:jc w:val="both"/>
            </w:pPr>
            <w:r w:rsidRPr="00A56FF6">
              <w:t>Vērtējot pēdējo 5 gadu iekasēto nodevu par importa licenču izsniegšanu, tai skaitā 2020.g</w:t>
            </w:r>
            <w:r w:rsidR="00BD4CA3">
              <w:t>ada</w:t>
            </w:r>
            <w:r w:rsidRPr="00A56FF6">
              <w:t xml:space="preserve"> pirmos 5 mēnešus, vispārējās importa licences ieviešana varētu samazināt gada ienākumus par aptuveni 7000 EUR.</w:t>
            </w:r>
          </w:p>
          <w:p w14:paraId="660F8542" w14:textId="77777777" w:rsidR="006050EF" w:rsidRPr="00A47B05" w:rsidRDefault="006050EF" w:rsidP="006050EF">
            <w:pPr>
              <w:pStyle w:val="naiskr"/>
              <w:spacing w:after="0"/>
              <w:jc w:val="both"/>
              <w:rPr>
                <w:highlight w:val="yellow"/>
              </w:rPr>
            </w:pPr>
          </w:p>
          <w:p w14:paraId="4E631E45" w14:textId="0F1C1BCF" w:rsidR="006050EF" w:rsidRPr="00A56FF6" w:rsidRDefault="006050EF" w:rsidP="006050EF">
            <w:pPr>
              <w:pStyle w:val="naiskr"/>
              <w:spacing w:after="0"/>
              <w:jc w:val="both"/>
            </w:pPr>
            <w:r w:rsidRPr="00A56FF6">
              <w:t xml:space="preserve">11. </w:t>
            </w:r>
            <w:r w:rsidR="00B46C07" w:rsidRPr="00A56FF6">
              <w:t xml:space="preserve">Noteikumu projekta </w:t>
            </w:r>
            <w:r w:rsidR="00BD4CA3" w:rsidRPr="00A56FF6">
              <w:t>6</w:t>
            </w:r>
            <w:r w:rsidR="00B46C07" w:rsidRPr="00A56FF6">
              <w:t>.punkts paredz izmaiņas licences pieprasījuma dokumentu iesniegšanai. Šobrīd nepieciešamos dokumentus Komitejā iesniedz, izmantojot elektronisko pastu. Papildus Latvija ir dalībniece Eiropas Savienības e-licencē</w:t>
            </w:r>
            <w:r w:rsidR="002D108A" w:rsidRPr="00A56FF6">
              <w:t xml:space="preserve">šanas projektam, kura ieviešana paredzēta 2021.gadā, kā rezultātā tiek paredzēta iespēja iesniegt dokumentus, izmantojot elektronisko licencēšanas sistēmu. </w:t>
            </w:r>
          </w:p>
          <w:p w14:paraId="3A9FA2F7" w14:textId="44639310" w:rsidR="002D108A" w:rsidRPr="00A56FF6" w:rsidRDefault="002D108A" w:rsidP="002D108A">
            <w:pPr>
              <w:pStyle w:val="naiskr"/>
              <w:spacing w:after="0"/>
              <w:jc w:val="both"/>
            </w:pPr>
            <w:r w:rsidRPr="00A56FF6">
              <w:t xml:space="preserve">Noteikumu projekta </w:t>
            </w:r>
            <w:r w:rsidR="009E2B7D" w:rsidRPr="00A56FF6">
              <w:t>6</w:t>
            </w:r>
            <w:r w:rsidRPr="00A56FF6">
              <w:t xml:space="preserve">.punkts vairs neparedz obligātu dokumentu oriģinālu iesniegšanu, ņemot vērā elektroniskā paraksta iespējas. Tomēr tiek paredzēta iespēja Komitejai pieprasīt dokumentu oriģinālus gadījumos, ja Komiteja vēlas pārliecināties par to </w:t>
            </w:r>
            <w:r w:rsidRPr="00A56FF6">
              <w:lastRenderedPageBreak/>
              <w:t>īstenumu, kas vairāk attiecās uz gala lietotāja sertifikātu, ko izsniedz ārvalstu preču saņēmējs.</w:t>
            </w:r>
          </w:p>
          <w:p w14:paraId="3F072C92" w14:textId="77777777" w:rsidR="00F63F2E" w:rsidRPr="00A56FF6" w:rsidRDefault="00F63F2E" w:rsidP="002D108A">
            <w:pPr>
              <w:pStyle w:val="naiskr"/>
              <w:spacing w:after="0"/>
              <w:jc w:val="both"/>
            </w:pPr>
          </w:p>
          <w:p w14:paraId="2F52FF4D" w14:textId="77777777" w:rsidR="00F63F2E" w:rsidRPr="00A56FF6" w:rsidRDefault="00F63F2E" w:rsidP="002D108A">
            <w:pPr>
              <w:pStyle w:val="naiskr"/>
              <w:spacing w:after="0"/>
              <w:jc w:val="both"/>
            </w:pPr>
            <w:r w:rsidRPr="00A56FF6">
              <w:t xml:space="preserve">12. </w:t>
            </w:r>
            <w:r w:rsidR="00124E9F" w:rsidRPr="00A56FF6">
              <w:t>Noteikumu projekts paredz izmaiņas noteikumu 4.</w:t>
            </w:r>
            <w:r w:rsidR="00124E9F" w:rsidRPr="00A56FF6">
              <w:rPr>
                <w:vertAlign w:val="superscript"/>
              </w:rPr>
              <w:t>1</w:t>
            </w:r>
            <w:r w:rsidR="00124E9F" w:rsidRPr="00A56FF6">
              <w:t xml:space="preserve"> pielikumā. Vārds “vispārīgā” tiek aizstāts ar vārdu “vispārējā”</w:t>
            </w:r>
            <w:r w:rsidR="0087295C" w:rsidRPr="00A56FF6">
              <w:t>, lai tas atbilstu noteikumu 30.</w:t>
            </w:r>
            <w:r w:rsidR="0087295C" w:rsidRPr="00A56FF6">
              <w:rPr>
                <w:vertAlign w:val="superscript"/>
              </w:rPr>
              <w:t>1</w:t>
            </w:r>
            <w:r w:rsidR="0087295C" w:rsidRPr="00A56FF6">
              <w:t xml:space="preserve"> punktam.</w:t>
            </w:r>
          </w:p>
          <w:p w14:paraId="1C13C2F1" w14:textId="77777777" w:rsidR="0087295C" w:rsidRDefault="009018E4" w:rsidP="004A5472">
            <w:pPr>
              <w:pStyle w:val="naiskr"/>
              <w:spacing w:after="0"/>
              <w:jc w:val="both"/>
            </w:pPr>
            <w:r w:rsidRPr="00A56FF6">
              <w:t>Papildus pielikums tiek papildināts ar valstīm, uz kurām licence ir piemērojama (Norvē</w:t>
            </w:r>
            <w:r w:rsidR="00B20847" w:rsidRPr="00A56FF6">
              <w:t xml:space="preserve">ģija un Islande) saskaņā ar </w:t>
            </w:r>
            <w:r w:rsidR="004A5472" w:rsidRPr="00A56FF6">
              <w:t>Eiropas Parlamenta un Padomes direktīvu 2009/43/EK (2009. gada 6. maijs), ar ko vienkāršo noteikumus un nosacījumus ar aizsardzību saistīto ražojumu sūtījumiem – direktīva attiecināma uz Eiropas Ekonomikas Zonu.</w:t>
            </w:r>
          </w:p>
          <w:p w14:paraId="7CB84181" w14:textId="77777777" w:rsidR="00BD4CA3" w:rsidRDefault="00BD4CA3" w:rsidP="004A5472">
            <w:pPr>
              <w:pStyle w:val="naiskr"/>
              <w:spacing w:after="0"/>
              <w:jc w:val="both"/>
            </w:pPr>
          </w:p>
          <w:p w14:paraId="78FCBC70" w14:textId="050E0C1F" w:rsidR="00BD4CA3" w:rsidRPr="0087295C" w:rsidRDefault="009E2B7D" w:rsidP="00A56FF6">
            <w:pPr>
              <w:pStyle w:val="naiskr"/>
              <w:jc w:val="both"/>
            </w:pPr>
            <w:r>
              <w:t>13</w:t>
            </w:r>
            <w:r w:rsidR="00BD4CA3" w:rsidRPr="00BD4CA3">
              <w:t>. Noteikumu projektam un nodevu noteikumu projektam ir sagatavota viena apvienotā anotācija saskaņā ar Ministru kabineta 2009. gada 7. aprīļa noteikumu Nr.300 “Ministru kabineta kārtības rullis” 26.punktu.</w:t>
            </w:r>
          </w:p>
        </w:tc>
      </w:tr>
      <w:tr w:rsidR="00BD6123" w:rsidRPr="00BD6123" w14:paraId="415B21B5"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37180"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D610EA"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CE457F5" w14:textId="2F98B947" w:rsidR="00B87D04" w:rsidRPr="00932853" w:rsidRDefault="0042265B" w:rsidP="00AB5E48">
            <w:pPr>
              <w:spacing w:after="0"/>
              <w:ind w:right="164"/>
              <w:jc w:val="both"/>
              <w:rPr>
                <w:rFonts w:ascii="Times New Roman" w:hAnsi="Times New Roman" w:cs="Times New Roman"/>
                <w:sz w:val="24"/>
                <w:szCs w:val="24"/>
              </w:rPr>
            </w:pPr>
            <w:r>
              <w:rPr>
                <w:rFonts w:ascii="Times New Roman" w:hAnsi="Times New Roman" w:cs="Times New Roman"/>
                <w:sz w:val="24"/>
                <w:szCs w:val="24"/>
              </w:rPr>
              <w:t>Ārlietu ministrija</w:t>
            </w:r>
            <w:r w:rsidR="00886D5F">
              <w:rPr>
                <w:rFonts w:ascii="Times New Roman" w:hAnsi="Times New Roman" w:cs="Times New Roman"/>
                <w:sz w:val="24"/>
                <w:szCs w:val="24"/>
              </w:rPr>
              <w:t>, Stratēģiskas nozīmes preču kontroles komiteja</w:t>
            </w:r>
            <w:r>
              <w:rPr>
                <w:rFonts w:ascii="Times New Roman" w:hAnsi="Times New Roman" w:cs="Times New Roman"/>
                <w:sz w:val="24"/>
                <w:szCs w:val="24"/>
              </w:rPr>
              <w:t>.</w:t>
            </w:r>
          </w:p>
          <w:p w14:paraId="2453E3E9" w14:textId="11E6C370" w:rsidR="00E5323B" w:rsidRPr="00FC4F45" w:rsidRDefault="00E5323B" w:rsidP="00FC4F45">
            <w:pPr>
              <w:spacing w:after="0" w:line="240" w:lineRule="auto"/>
              <w:rPr>
                <w:rFonts w:ascii="Times New Roman" w:hAnsi="Times New Roman"/>
                <w:sz w:val="24"/>
              </w:rPr>
            </w:pPr>
          </w:p>
        </w:tc>
      </w:tr>
      <w:tr w:rsidR="00BD6123" w:rsidRPr="00BD6123" w14:paraId="161D5C00"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90235"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4.</w:t>
            </w:r>
          </w:p>
        </w:tc>
        <w:tc>
          <w:tcPr>
            <w:tcW w:w="1678" w:type="pct"/>
            <w:tcBorders>
              <w:top w:val="outset" w:sz="6" w:space="0" w:color="auto"/>
              <w:left w:val="outset" w:sz="6" w:space="0" w:color="auto"/>
              <w:bottom w:val="outset" w:sz="6" w:space="0" w:color="auto"/>
              <w:right w:val="outset" w:sz="6" w:space="0" w:color="auto"/>
            </w:tcBorders>
            <w:hideMark/>
          </w:tcPr>
          <w:p w14:paraId="204682D9"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C167F45" w14:textId="467053DA" w:rsidR="00E5323B" w:rsidRPr="00FC4F45" w:rsidRDefault="00B87D04" w:rsidP="00FC4F45">
            <w:pPr>
              <w:snapToGrid w:val="0"/>
              <w:spacing w:after="0"/>
              <w:jc w:val="both"/>
              <w:rPr>
                <w:rFonts w:ascii="Times New Roman" w:hAnsi="Times New Roman"/>
                <w:sz w:val="24"/>
              </w:rPr>
            </w:pPr>
            <w:r w:rsidRPr="00932853">
              <w:rPr>
                <w:rFonts w:ascii="Times New Roman" w:hAnsi="Times New Roman" w:cs="Times New Roman"/>
                <w:sz w:val="24"/>
                <w:szCs w:val="24"/>
              </w:rPr>
              <w:t xml:space="preserve"> </w:t>
            </w:r>
            <w:r w:rsidR="00BD6123" w:rsidRPr="00FC4F45">
              <w:rPr>
                <w:rFonts w:ascii="Times New Roman" w:hAnsi="Times New Roman"/>
                <w:sz w:val="24"/>
              </w:rPr>
              <w:t>Nav</w:t>
            </w:r>
            <w:r w:rsidRPr="00932853">
              <w:rPr>
                <w:rFonts w:ascii="Times New Roman" w:hAnsi="Times New Roman" w:cs="Times New Roman"/>
                <w:sz w:val="24"/>
                <w:szCs w:val="24"/>
              </w:rPr>
              <w:t>.</w:t>
            </w:r>
          </w:p>
        </w:tc>
      </w:tr>
    </w:tbl>
    <w:p w14:paraId="7F5F2EFB" w14:textId="77777777" w:rsidR="00E5323B" w:rsidRPr="00FC4F45" w:rsidRDefault="00E5323B" w:rsidP="00E5323B">
      <w:pPr>
        <w:spacing w:after="0" w:line="240" w:lineRule="auto"/>
        <w:rPr>
          <w:rFonts w:ascii="Times New Roman" w:hAnsi="Times New Roman"/>
          <w:color w:val="FF0000"/>
          <w:sz w:val="24"/>
        </w:rPr>
      </w:pPr>
      <w:r w:rsidRPr="00FC4F45">
        <w:rPr>
          <w:rFonts w:ascii="Times New Roman" w:hAnsi="Times New Roman"/>
          <w:color w:val="FF0000"/>
          <w:sz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BD6123" w14:paraId="1AB6F5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9A623A" w14:textId="77777777" w:rsidR="00655F2C" w:rsidRPr="00FC4F45" w:rsidRDefault="00E5323B" w:rsidP="00E5323B">
            <w:pPr>
              <w:spacing w:after="0" w:line="240" w:lineRule="auto"/>
              <w:rPr>
                <w:rFonts w:ascii="Times New Roman" w:hAnsi="Times New Roman"/>
                <w:b/>
                <w:sz w:val="24"/>
              </w:rPr>
            </w:pPr>
            <w:r w:rsidRPr="00FC4F45">
              <w:rPr>
                <w:rFonts w:ascii="Times New Roman" w:hAnsi="Times New Roman"/>
                <w:b/>
                <w:sz w:val="24"/>
              </w:rPr>
              <w:t>II. Tiesību akta projekta ietekme uz sabiedrību, tautsaimniecības attīstību un administratīvo slogu</w:t>
            </w:r>
          </w:p>
        </w:tc>
      </w:tr>
      <w:tr w:rsidR="00BD6123" w:rsidRPr="00BD6123" w14:paraId="23B74087"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E5E2D3"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1.</w:t>
            </w:r>
          </w:p>
        </w:tc>
        <w:tc>
          <w:tcPr>
            <w:tcW w:w="1678" w:type="pct"/>
            <w:tcBorders>
              <w:top w:val="outset" w:sz="6" w:space="0" w:color="auto"/>
              <w:left w:val="outset" w:sz="6" w:space="0" w:color="auto"/>
              <w:bottom w:val="outset" w:sz="6" w:space="0" w:color="auto"/>
              <w:right w:val="outset" w:sz="6" w:space="0" w:color="auto"/>
            </w:tcBorders>
            <w:hideMark/>
          </w:tcPr>
          <w:p w14:paraId="493BB213"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22B570D" w14:textId="27CBB29B" w:rsidR="00E5323B" w:rsidRPr="00FC4F45" w:rsidRDefault="00AC41A5" w:rsidP="00FC4F45">
            <w:pPr>
              <w:spacing w:after="0"/>
              <w:jc w:val="both"/>
              <w:rPr>
                <w:rFonts w:ascii="Times New Roman" w:hAnsi="Times New Roman"/>
                <w:sz w:val="24"/>
              </w:rPr>
            </w:pPr>
            <w:r>
              <w:rPr>
                <w:rFonts w:ascii="Times New Roman" w:hAnsi="Times New Roman" w:cs="Times New Roman"/>
                <w:sz w:val="24"/>
                <w:szCs w:val="26"/>
              </w:rPr>
              <w:t xml:space="preserve">Noteikumu projekts un nodevu noteikumu projekts ietekmēs subjektus, kas vēlas saņemt divējāda lietojuma preču importa licences. </w:t>
            </w:r>
            <w:r w:rsidR="00B22496">
              <w:rPr>
                <w:rFonts w:ascii="Times New Roman" w:hAnsi="Times New Roman" w:cs="Times New Roman"/>
                <w:sz w:val="24"/>
                <w:szCs w:val="26"/>
              </w:rPr>
              <w:t>Noteikumu projektā un nodevu noteikumu projektā ietvertās normas samazinās administratīvo slogu Latvijas komersantiem, kā arī samazinās izdevumus preču ražošanai – palielinās konkurētspēju divējāda lietojuma preču globālajā tirgū</w:t>
            </w:r>
            <w:r w:rsidR="00BD6123" w:rsidRPr="00FC4F45">
              <w:rPr>
                <w:rFonts w:ascii="Times New Roman" w:hAnsi="Times New Roman"/>
                <w:sz w:val="24"/>
              </w:rPr>
              <w:t>.</w:t>
            </w:r>
            <w:r>
              <w:rPr>
                <w:rFonts w:ascii="Times New Roman" w:hAnsi="Times New Roman"/>
                <w:sz w:val="24"/>
              </w:rPr>
              <w:t xml:space="preserve"> </w:t>
            </w:r>
          </w:p>
        </w:tc>
      </w:tr>
      <w:tr w:rsidR="00BD6123" w:rsidRPr="00BD6123" w14:paraId="50647C16"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3345D"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2.</w:t>
            </w:r>
          </w:p>
        </w:tc>
        <w:tc>
          <w:tcPr>
            <w:tcW w:w="1678" w:type="pct"/>
            <w:tcBorders>
              <w:top w:val="outset" w:sz="6" w:space="0" w:color="auto"/>
              <w:left w:val="outset" w:sz="6" w:space="0" w:color="auto"/>
              <w:bottom w:val="outset" w:sz="6" w:space="0" w:color="auto"/>
              <w:right w:val="outset" w:sz="6" w:space="0" w:color="auto"/>
            </w:tcBorders>
            <w:hideMark/>
          </w:tcPr>
          <w:p w14:paraId="6F6CABE6"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70B87C6" w14:textId="1618BB96" w:rsidR="00E5323B" w:rsidRPr="00B22496" w:rsidRDefault="00AC41A5" w:rsidP="00FC4F45">
            <w:pPr>
              <w:pStyle w:val="CommentText"/>
              <w:jc w:val="both"/>
              <w:rPr>
                <w:rFonts w:ascii="Times New Roman" w:hAnsi="Times New Roman" w:cs="Times New Roman"/>
                <w:sz w:val="24"/>
              </w:rPr>
            </w:pPr>
            <w:r>
              <w:rPr>
                <w:rFonts w:ascii="Times New Roman" w:hAnsi="Times New Roman" w:cs="Times New Roman"/>
                <w:sz w:val="24"/>
                <w:szCs w:val="26"/>
              </w:rPr>
              <w:t>Noteikumu projektā un nodevu noteikumu projektā ietvertās normas samazinās administratīvo slogu Latvijas komersantiem, kā arī samazinās izdevumus preču ražošanai – palielinās konkurētspēju divējāda lietojuma preču globālajā tirgū</w:t>
            </w:r>
            <w:r w:rsidRPr="00FC4F45">
              <w:rPr>
                <w:rFonts w:ascii="Times New Roman" w:hAnsi="Times New Roman"/>
                <w:sz w:val="24"/>
              </w:rPr>
              <w:t>.</w:t>
            </w:r>
          </w:p>
        </w:tc>
      </w:tr>
      <w:tr w:rsidR="00BD6123" w:rsidRPr="00BD6123" w14:paraId="066590B1"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F94AEF" w14:textId="77777777" w:rsidR="00655F2C" w:rsidRPr="00FC4F45" w:rsidRDefault="00AF161A" w:rsidP="00E5323B">
            <w:pPr>
              <w:spacing w:after="0" w:line="240" w:lineRule="auto"/>
              <w:rPr>
                <w:rFonts w:ascii="Times New Roman" w:hAnsi="Times New Roman"/>
                <w:sz w:val="24"/>
              </w:rPr>
            </w:pPr>
            <w:r w:rsidRPr="00FC4F45">
              <w:rPr>
                <w:rFonts w:ascii="Times New Roman" w:hAnsi="Times New Roman"/>
                <w:sz w:val="24"/>
              </w:rPr>
              <w:t>3</w:t>
            </w:r>
            <w:r w:rsidR="00E5323B" w:rsidRPr="00FC4F45">
              <w:rPr>
                <w:rFonts w:ascii="Times New Roman" w:hAnsi="Times New Roman"/>
                <w:sz w:val="24"/>
              </w:rPr>
              <w:t>.</w:t>
            </w:r>
          </w:p>
        </w:tc>
        <w:tc>
          <w:tcPr>
            <w:tcW w:w="1678" w:type="pct"/>
            <w:tcBorders>
              <w:top w:val="outset" w:sz="6" w:space="0" w:color="auto"/>
              <w:left w:val="outset" w:sz="6" w:space="0" w:color="auto"/>
              <w:bottom w:val="outset" w:sz="6" w:space="0" w:color="auto"/>
              <w:right w:val="outset" w:sz="6" w:space="0" w:color="auto"/>
            </w:tcBorders>
            <w:hideMark/>
          </w:tcPr>
          <w:p w14:paraId="2BBC7EBA" w14:textId="45C3A4F9" w:rsidR="00E5323B" w:rsidRPr="00FC4F45" w:rsidRDefault="00B87D04" w:rsidP="00E5323B">
            <w:pPr>
              <w:spacing w:after="0" w:line="240" w:lineRule="auto"/>
              <w:rPr>
                <w:rFonts w:ascii="Times New Roman" w:hAnsi="Times New Roman"/>
                <w:sz w:val="24"/>
              </w:rPr>
            </w:pPr>
            <w:r w:rsidRPr="00932853">
              <w:rPr>
                <w:rFonts w:ascii="Times New Roman" w:eastAsia="Times New Roman" w:hAnsi="Times New Roman" w:cs="Times New Roman"/>
                <w:iCs/>
                <w:sz w:val="24"/>
                <w:szCs w:val="24"/>
                <w:lang w:eastAsia="lv-LV"/>
              </w:rPr>
              <w:t>Administratīvo</w:t>
            </w:r>
            <w:r w:rsidR="00E5323B" w:rsidRPr="00FC4F45">
              <w:rPr>
                <w:rFonts w:ascii="Times New Roman" w:hAnsi="Times New Roman"/>
                <w:sz w:val="24"/>
              </w:rPr>
              <w:t xml:space="preserve">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567F7B" w14:textId="77777777" w:rsidR="00E5323B" w:rsidRPr="00FC4F45" w:rsidRDefault="00BD6123" w:rsidP="00FC4F45">
            <w:pPr>
              <w:jc w:val="both"/>
              <w:rPr>
                <w:rFonts w:ascii="Times New Roman" w:hAnsi="Times New Roman"/>
                <w:sz w:val="24"/>
              </w:rPr>
            </w:pPr>
            <w:r w:rsidRPr="00FC4F45">
              <w:rPr>
                <w:rFonts w:ascii="Times New Roman" w:hAnsi="Times New Roman"/>
                <w:sz w:val="24"/>
              </w:rPr>
              <w:t>Projekts šo jomu neskar.</w:t>
            </w:r>
          </w:p>
        </w:tc>
      </w:tr>
      <w:tr w:rsidR="00B87D04" w:rsidRPr="00932853" w14:paraId="5E3CFE9C" w14:textId="77777777" w:rsidTr="00AB5E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3513C" w14:textId="77777777" w:rsidR="00B87D04" w:rsidRPr="00932853" w:rsidRDefault="00B87D04" w:rsidP="00AB5E48">
            <w:pPr>
              <w:spacing w:after="0" w:line="240" w:lineRule="auto"/>
              <w:rPr>
                <w:rFonts w:ascii="Times New Roman" w:eastAsia="Times New Roman" w:hAnsi="Times New Roman" w:cs="Times New Roman"/>
                <w:iCs/>
                <w:sz w:val="24"/>
                <w:szCs w:val="24"/>
                <w:lang w:eastAsia="lv-LV"/>
              </w:rPr>
            </w:pPr>
            <w:r w:rsidRPr="009328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14030EF" w14:textId="77777777" w:rsidR="00B87D04" w:rsidRPr="00932853" w:rsidRDefault="00B87D04" w:rsidP="00AB5E48">
            <w:pPr>
              <w:spacing w:after="0" w:line="240" w:lineRule="auto"/>
              <w:rPr>
                <w:rFonts w:ascii="Times New Roman" w:eastAsia="Times New Roman" w:hAnsi="Times New Roman" w:cs="Times New Roman"/>
                <w:iCs/>
                <w:sz w:val="24"/>
                <w:szCs w:val="24"/>
                <w:lang w:eastAsia="lv-LV"/>
              </w:rPr>
            </w:pPr>
            <w:r w:rsidRPr="00932853">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6A1F4E7" w14:textId="77777777" w:rsidR="00B87D04" w:rsidRPr="00932853" w:rsidRDefault="00B87D04" w:rsidP="00AB5E48">
            <w:pPr>
              <w:spacing w:after="0" w:line="240" w:lineRule="auto"/>
              <w:rPr>
                <w:rFonts w:ascii="Times New Roman" w:eastAsia="Times New Roman" w:hAnsi="Times New Roman" w:cs="Times New Roman"/>
                <w:iCs/>
                <w:sz w:val="24"/>
                <w:szCs w:val="24"/>
                <w:lang w:eastAsia="lv-LV"/>
              </w:rPr>
            </w:pPr>
            <w:r w:rsidRPr="00932853">
              <w:rPr>
                <w:rFonts w:ascii="Times New Roman" w:eastAsia="Times New Roman" w:hAnsi="Times New Roman" w:cs="Times New Roman"/>
                <w:iCs/>
                <w:sz w:val="24"/>
                <w:szCs w:val="24"/>
                <w:lang w:eastAsia="lv-LV"/>
              </w:rPr>
              <w:t>Nav attiecināms.</w:t>
            </w:r>
          </w:p>
        </w:tc>
      </w:tr>
      <w:tr w:rsidR="00BD6123" w:rsidRPr="00BD6123" w14:paraId="4611A3C9" w14:textId="77777777" w:rsidTr="00AF16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6C8549" w14:textId="7D9CB0BB" w:rsidR="00655F2C" w:rsidRPr="00FC4F45" w:rsidRDefault="00B87D04" w:rsidP="00E5323B">
            <w:pPr>
              <w:spacing w:after="0" w:line="240" w:lineRule="auto"/>
              <w:rPr>
                <w:rFonts w:ascii="Times New Roman" w:hAnsi="Times New Roman"/>
                <w:sz w:val="24"/>
              </w:rPr>
            </w:pPr>
            <w:r w:rsidRPr="00932853">
              <w:rPr>
                <w:rFonts w:ascii="Times New Roman" w:eastAsia="Times New Roman" w:hAnsi="Times New Roman" w:cs="Times New Roman"/>
                <w:iCs/>
                <w:sz w:val="24"/>
                <w:szCs w:val="24"/>
                <w:lang w:eastAsia="lv-LV"/>
              </w:rPr>
              <w:t>5</w:t>
            </w:r>
            <w:r w:rsidR="00E5323B" w:rsidRPr="00FC4F45">
              <w:rPr>
                <w:rFonts w:ascii="Times New Roman" w:hAnsi="Times New Roman"/>
                <w:sz w:val="24"/>
              </w:rPr>
              <w:t>.</w:t>
            </w:r>
          </w:p>
        </w:tc>
        <w:tc>
          <w:tcPr>
            <w:tcW w:w="1678" w:type="pct"/>
            <w:tcBorders>
              <w:top w:val="outset" w:sz="6" w:space="0" w:color="auto"/>
              <w:left w:val="outset" w:sz="6" w:space="0" w:color="auto"/>
              <w:bottom w:val="outset" w:sz="6" w:space="0" w:color="auto"/>
              <w:right w:val="outset" w:sz="6" w:space="0" w:color="auto"/>
            </w:tcBorders>
            <w:hideMark/>
          </w:tcPr>
          <w:p w14:paraId="3B41F0BA"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BBCD3AE" w14:textId="5E541F0E" w:rsidR="00E5323B" w:rsidRPr="00FC4F45" w:rsidRDefault="00BD6123" w:rsidP="00E5323B">
            <w:pPr>
              <w:spacing w:after="0" w:line="240" w:lineRule="auto"/>
              <w:rPr>
                <w:rFonts w:ascii="Times New Roman" w:hAnsi="Times New Roman"/>
                <w:sz w:val="24"/>
              </w:rPr>
            </w:pPr>
            <w:r w:rsidRPr="00FC4F45">
              <w:rPr>
                <w:rFonts w:ascii="Times New Roman" w:hAnsi="Times New Roman"/>
                <w:sz w:val="24"/>
              </w:rPr>
              <w:t>Nav</w:t>
            </w:r>
            <w:r w:rsidR="00297D8B">
              <w:rPr>
                <w:rFonts w:ascii="Times New Roman" w:hAnsi="Times New Roman"/>
                <w:sz w:val="24"/>
              </w:rPr>
              <w:t>.</w:t>
            </w:r>
          </w:p>
        </w:tc>
      </w:tr>
    </w:tbl>
    <w:p w14:paraId="2DC52D50" w14:textId="7F34F2B0" w:rsidR="00E5323B" w:rsidRPr="00FC4F45" w:rsidRDefault="00E5323B" w:rsidP="00E5323B">
      <w:pPr>
        <w:spacing w:after="0" w:line="240" w:lineRule="auto"/>
        <w:rPr>
          <w:rFonts w:ascii="Times New Roman" w:hAnsi="Times New Roman"/>
          <w:color w:val="FF0000"/>
          <w:sz w:val="24"/>
        </w:rPr>
      </w:pPr>
      <w:r w:rsidRPr="00FC4F45">
        <w:rPr>
          <w:rFonts w:ascii="Times New Roman" w:hAnsi="Times New Roman"/>
          <w:color w:val="FF0000"/>
          <w:sz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61A" w:rsidRPr="00AF161A" w14:paraId="35C67C54" w14:textId="77777777" w:rsidTr="00FC4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820FF" w14:textId="77777777" w:rsidR="00AF161A" w:rsidRPr="00AF161A" w:rsidRDefault="00AF161A" w:rsidP="00FC4F45">
            <w:pPr>
              <w:spacing w:after="0" w:line="240" w:lineRule="auto"/>
              <w:rPr>
                <w:rFonts w:ascii="Times New Roman" w:eastAsia="Times New Roman" w:hAnsi="Times New Roman" w:cs="Times New Roman"/>
                <w:b/>
                <w:bCs/>
                <w:sz w:val="24"/>
                <w:szCs w:val="24"/>
                <w:lang w:eastAsia="lv-LV"/>
              </w:rPr>
            </w:pPr>
            <w:r w:rsidRPr="00AF161A">
              <w:rPr>
                <w:rFonts w:ascii="Times New Roman" w:eastAsia="Times New Roman" w:hAnsi="Times New Roman" w:cs="Times New Roman"/>
                <w:b/>
                <w:bCs/>
                <w:sz w:val="24"/>
                <w:szCs w:val="24"/>
                <w:lang w:eastAsia="lv-LV"/>
              </w:rPr>
              <w:t>III. Tiesību akta projekta ietekme uz valsts budžetu un pašvaldību budžetiem</w:t>
            </w:r>
          </w:p>
        </w:tc>
      </w:tr>
      <w:tr w:rsidR="00AF161A" w:rsidRPr="00AF161A" w14:paraId="7CB55925" w14:textId="77777777" w:rsidTr="00FC4F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77843F" w14:textId="2DA91A2A" w:rsidR="00AF161A" w:rsidRDefault="003E3F2D" w:rsidP="003E3F2D">
            <w:pPr>
              <w:snapToGrid w:val="0"/>
              <w:spacing w:after="0"/>
              <w:jc w:val="both"/>
              <w:rPr>
                <w:rFonts w:ascii="Times New Roman" w:hAnsi="Times New Roman"/>
                <w:sz w:val="24"/>
              </w:rPr>
            </w:pPr>
            <w:r>
              <w:rPr>
                <w:rFonts w:ascii="Times New Roman" w:hAnsi="Times New Roman"/>
                <w:sz w:val="24"/>
              </w:rPr>
              <w:t>Ieņēmumi par stratēģiskas nozīmes preču aprites dokumentu izsniegšanu sadalījumā pa gadiem:</w:t>
            </w:r>
          </w:p>
          <w:p w14:paraId="2FBAF5E8" w14:textId="77777777" w:rsidR="003E3F2D" w:rsidRDefault="003E3F2D" w:rsidP="003E3F2D">
            <w:pPr>
              <w:snapToGrid w:val="0"/>
              <w:spacing w:after="0"/>
              <w:jc w:val="both"/>
              <w:rPr>
                <w:rFonts w:ascii="Times New Roman" w:hAnsi="Times New Roman"/>
                <w:sz w:val="24"/>
              </w:rPr>
            </w:pPr>
            <w:r>
              <w:rPr>
                <w:rFonts w:ascii="Times New Roman" w:hAnsi="Times New Roman"/>
                <w:sz w:val="24"/>
              </w:rPr>
              <w:t>2016.g. – 145 tūkst. EUR;</w:t>
            </w:r>
          </w:p>
          <w:p w14:paraId="1ADD95ED" w14:textId="77777777" w:rsidR="003E3F2D" w:rsidRDefault="003E3F2D" w:rsidP="003E3F2D">
            <w:pPr>
              <w:snapToGrid w:val="0"/>
              <w:spacing w:after="0"/>
              <w:jc w:val="both"/>
              <w:rPr>
                <w:rFonts w:ascii="Times New Roman" w:hAnsi="Times New Roman"/>
                <w:sz w:val="24"/>
              </w:rPr>
            </w:pPr>
            <w:r>
              <w:rPr>
                <w:rFonts w:ascii="Times New Roman" w:hAnsi="Times New Roman"/>
                <w:sz w:val="24"/>
              </w:rPr>
              <w:t>2017.g. – 137 tūkst. EUR;</w:t>
            </w:r>
          </w:p>
          <w:p w14:paraId="65BF8473" w14:textId="77777777" w:rsidR="003E3F2D" w:rsidRDefault="003E3F2D" w:rsidP="003E3F2D">
            <w:pPr>
              <w:snapToGrid w:val="0"/>
              <w:spacing w:after="0"/>
              <w:jc w:val="both"/>
              <w:rPr>
                <w:rFonts w:ascii="Times New Roman" w:hAnsi="Times New Roman"/>
                <w:sz w:val="24"/>
              </w:rPr>
            </w:pPr>
            <w:r>
              <w:rPr>
                <w:rFonts w:ascii="Times New Roman" w:hAnsi="Times New Roman"/>
                <w:sz w:val="24"/>
              </w:rPr>
              <w:t>2018.g. – 145 tūkst. EUR;</w:t>
            </w:r>
          </w:p>
          <w:p w14:paraId="683ABB8B" w14:textId="77777777" w:rsidR="003E3F2D" w:rsidRDefault="003E3F2D" w:rsidP="003E3F2D">
            <w:pPr>
              <w:snapToGrid w:val="0"/>
              <w:spacing w:after="0"/>
              <w:jc w:val="both"/>
              <w:rPr>
                <w:rFonts w:ascii="Times New Roman" w:hAnsi="Times New Roman"/>
                <w:sz w:val="24"/>
              </w:rPr>
            </w:pPr>
            <w:r>
              <w:rPr>
                <w:rFonts w:ascii="Times New Roman" w:hAnsi="Times New Roman"/>
                <w:sz w:val="24"/>
              </w:rPr>
              <w:t>2019.g. – 143 tūkst EUR.</w:t>
            </w:r>
          </w:p>
          <w:p w14:paraId="1A9C6402" w14:textId="5FFEC0D0" w:rsidR="003E3F2D" w:rsidRPr="00FC4F45" w:rsidRDefault="00F57BDE" w:rsidP="003E3F2D">
            <w:pPr>
              <w:snapToGrid w:val="0"/>
              <w:spacing w:after="0"/>
              <w:jc w:val="both"/>
              <w:rPr>
                <w:rFonts w:ascii="Times New Roman" w:hAnsi="Times New Roman"/>
                <w:sz w:val="24"/>
              </w:rPr>
            </w:pPr>
            <w:r>
              <w:rPr>
                <w:rFonts w:ascii="Times New Roman" w:hAnsi="Times New Roman"/>
                <w:sz w:val="24"/>
              </w:rPr>
              <w:t>Vērtējot pēdējo 5 gadu iekasēto nodevu par importa licenču izsniegšanu, tai skaitā 2020.g. pirmos 5 mēnešus, v</w:t>
            </w:r>
            <w:r w:rsidR="003E3F2D">
              <w:rPr>
                <w:rFonts w:ascii="Times New Roman" w:hAnsi="Times New Roman"/>
                <w:sz w:val="24"/>
              </w:rPr>
              <w:t>ispārējās importa licences ieviešana varētu samazināt gada ienākumus par aptuveni 7000 EUR.</w:t>
            </w:r>
          </w:p>
        </w:tc>
      </w:tr>
    </w:tbl>
    <w:p w14:paraId="5429D807" w14:textId="003865AB" w:rsidR="00AF161A" w:rsidRPr="00FC4F45" w:rsidRDefault="00B87D04" w:rsidP="00E5323B">
      <w:pPr>
        <w:spacing w:after="0" w:line="240" w:lineRule="auto"/>
        <w:rPr>
          <w:rFonts w:ascii="Times New Roman" w:hAnsi="Times New Roman"/>
          <w:color w:val="FF0000"/>
          <w:sz w:val="24"/>
        </w:rPr>
      </w:pPr>
      <w:r w:rsidRPr="00C57AAF">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3332"/>
        <w:gridCol w:w="5174"/>
      </w:tblGrid>
      <w:tr w:rsidR="00AF161A" w:rsidRPr="0069278B" w14:paraId="20092E00" w14:textId="77777777" w:rsidTr="00FC4F4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515A7C" w14:textId="77777777" w:rsidR="00AF161A" w:rsidRPr="00FC4F45" w:rsidRDefault="00AF161A" w:rsidP="00FC4F45">
            <w:pPr>
              <w:spacing w:after="0" w:line="240" w:lineRule="auto"/>
              <w:rPr>
                <w:b/>
              </w:rPr>
            </w:pPr>
            <w:r w:rsidRPr="00FC4F45">
              <w:rPr>
                <w:rFonts w:ascii="Times New Roman" w:hAnsi="Times New Roman"/>
                <w:b/>
                <w:sz w:val="24"/>
              </w:rPr>
              <w:t>IV. Tiesību akta projekta ietekme uz spēkā esošo tiesību normu sistēmu</w:t>
            </w:r>
          </w:p>
        </w:tc>
      </w:tr>
      <w:tr w:rsidR="00AF161A" w:rsidRPr="0069278B" w14:paraId="14C658F9" w14:textId="77777777" w:rsidTr="00390D52">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950017B" w14:textId="77777777" w:rsidR="00B87D04" w:rsidRPr="00FB3346" w:rsidRDefault="00B87D04"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1.</w:t>
            </w:r>
          </w:p>
        </w:tc>
        <w:tc>
          <w:tcPr>
            <w:tcW w:w="1824" w:type="pct"/>
            <w:tcBorders>
              <w:top w:val="outset" w:sz="6" w:space="0" w:color="auto"/>
              <w:left w:val="outset" w:sz="6" w:space="0" w:color="auto"/>
              <w:bottom w:val="outset" w:sz="6" w:space="0" w:color="auto"/>
              <w:right w:val="outset" w:sz="6" w:space="0" w:color="auto"/>
            </w:tcBorders>
            <w:hideMark/>
          </w:tcPr>
          <w:p w14:paraId="4D55908B" w14:textId="77777777" w:rsidR="00B87D04" w:rsidRPr="00FB3346" w:rsidRDefault="00B87D04"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Saistītie tiesību aktu projekti</w:t>
            </w:r>
          </w:p>
        </w:tc>
        <w:tc>
          <w:tcPr>
            <w:tcW w:w="2832" w:type="pct"/>
            <w:tcBorders>
              <w:top w:val="outset" w:sz="6" w:space="0" w:color="auto"/>
              <w:left w:val="outset" w:sz="6" w:space="0" w:color="auto"/>
              <w:bottom w:val="outset" w:sz="6" w:space="0" w:color="auto"/>
              <w:right w:val="outset" w:sz="6" w:space="0" w:color="auto"/>
            </w:tcBorders>
            <w:hideMark/>
          </w:tcPr>
          <w:p w14:paraId="1B367F82" w14:textId="3B0DB5DD" w:rsidR="00AF161A" w:rsidRPr="00FC4F45" w:rsidRDefault="001D54F6" w:rsidP="00FC4F45">
            <w:pPr>
              <w:spacing w:after="0" w:line="240" w:lineRule="auto"/>
              <w:jc w:val="both"/>
            </w:pPr>
            <w:r>
              <w:rPr>
                <w:rFonts w:ascii="Times New Roman" w:hAnsi="Times New Roman"/>
                <w:sz w:val="24"/>
              </w:rPr>
              <w:t>P</w:t>
            </w:r>
            <w:r w:rsidRPr="00FC4F45">
              <w:rPr>
                <w:rFonts w:ascii="Times New Roman" w:hAnsi="Times New Roman"/>
                <w:sz w:val="24"/>
              </w:rPr>
              <w:t xml:space="preserve">rojekts </w:t>
            </w:r>
            <w:r w:rsidR="00AF161A" w:rsidRPr="00FC4F45">
              <w:rPr>
                <w:rFonts w:ascii="Times New Roman" w:hAnsi="Times New Roman"/>
                <w:sz w:val="24"/>
              </w:rPr>
              <w:t>šo jomu neskar.</w:t>
            </w:r>
            <w:r w:rsidR="00B87D04" w:rsidRPr="00FB3346">
              <w:rPr>
                <w:rFonts w:ascii="Times New Roman" w:hAnsi="Times New Roman" w:cs="Times New Roman"/>
                <w:bCs/>
                <w:sz w:val="24"/>
                <w:szCs w:val="24"/>
              </w:rPr>
              <w:t xml:space="preserve"> </w:t>
            </w:r>
          </w:p>
        </w:tc>
      </w:tr>
      <w:tr w:rsidR="00584BDC" w:rsidRPr="00FB3346" w14:paraId="4448B7F5" w14:textId="77777777" w:rsidTr="00390D52">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8441485" w14:textId="77777777" w:rsidR="00584BDC" w:rsidRPr="00FB3346" w:rsidRDefault="00584BDC"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2.</w:t>
            </w:r>
          </w:p>
        </w:tc>
        <w:tc>
          <w:tcPr>
            <w:tcW w:w="1824" w:type="pct"/>
            <w:tcBorders>
              <w:top w:val="outset" w:sz="6" w:space="0" w:color="auto"/>
              <w:left w:val="outset" w:sz="6" w:space="0" w:color="auto"/>
              <w:bottom w:val="outset" w:sz="6" w:space="0" w:color="auto"/>
              <w:right w:val="outset" w:sz="6" w:space="0" w:color="auto"/>
            </w:tcBorders>
          </w:tcPr>
          <w:p w14:paraId="4FFA3E32" w14:textId="77777777" w:rsidR="00584BDC" w:rsidRPr="00FB3346" w:rsidRDefault="00584BDC"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Atbildīgā institūcija</w:t>
            </w:r>
          </w:p>
        </w:tc>
        <w:tc>
          <w:tcPr>
            <w:tcW w:w="2832" w:type="pct"/>
            <w:tcBorders>
              <w:top w:val="outset" w:sz="6" w:space="0" w:color="auto"/>
              <w:left w:val="outset" w:sz="6" w:space="0" w:color="auto"/>
              <w:bottom w:val="outset" w:sz="6" w:space="0" w:color="auto"/>
              <w:right w:val="outset" w:sz="6" w:space="0" w:color="auto"/>
            </w:tcBorders>
            <w:hideMark/>
          </w:tcPr>
          <w:p w14:paraId="4E30E186" w14:textId="77777777" w:rsidR="00584BDC" w:rsidRPr="00FB3346" w:rsidRDefault="00584BDC"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Nav.</w:t>
            </w:r>
          </w:p>
        </w:tc>
      </w:tr>
      <w:tr w:rsidR="00584BDC" w:rsidRPr="00FB3346" w14:paraId="14168089" w14:textId="77777777" w:rsidTr="00390D52">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A34EEE3" w14:textId="77777777" w:rsidR="00584BDC" w:rsidRPr="00FB3346" w:rsidRDefault="00584BDC"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3.</w:t>
            </w:r>
          </w:p>
        </w:tc>
        <w:tc>
          <w:tcPr>
            <w:tcW w:w="1824" w:type="pct"/>
            <w:tcBorders>
              <w:top w:val="outset" w:sz="6" w:space="0" w:color="auto"/>
              <w:left w:val="outset" w:sz="6" w:space="0" w:color="auto"/>
              <w:bottom w:val="outset" w:sz="6" w:space="0" w:color="auto"/>
              <w:right w:val="outset" w:sz="6" w:space="0" w:color="auto"/>
            </w:tcBorders>
          </w:tcPr>
          <w:p w14:paraId="2C681327" w14:textId="77777777" w:rsidR="00584BDC" w:rsidRPr="00FB3346" w:rsidRDefault="00584BDC"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Cita informācija</w:t>
            </w:r>
          </w:p>
        </w:tc>
        <w:tc>
          <w:tcPr>
            <w:tcW w:w="2832" w:type="pct"/>
            <w:tcBorders>
              <w:top w:val="outset" w:sz="6" w:space="0" w:color="auto"/>
              <w:left w:val="outset" w:sz="6" w:space="0" w:color="auto"/>
              <w:bottom w:val="outset" w:sz="6" w:space="0" w:color="auto"/>
              <w:right w:val="outset" w:sz="6" w:space="0" w:color="auto"/>
            </w:tcBorders>
            <w:hideMark/>
          </w:tcPr>
          <w:p w14:paraId="2FB37EDC" w14:textId="77777777" w:rsidR="00584BDC" w:rsidRPr="00FB3346" w:rsidRDefault="00584BDC" w:rsidP="00AB5E48">
            <w:pPr>
              <w:spacing w:after="0" w:line="240" w:lineRule="auto"/>
              <w:rPr>
                <w:rFonts w:ascii="Times New Roman" w:eastAsia="Times New Roman" w:hAnsi="Times New Roman" w:cs="Times New Roman"/>
                <w:iCs/>
                <w:sz w:val="24"/>
                <w:szCs w:val="24"/>
                <w:lang w:eastAsia="lv-LV"/>
              </w:rPr>
            </w:pPr>
            <w:r w:rsidRPr="00FB3346">
              <w:rPr>
                <w:rFonts w:ascii="Times New Roman" w:eastAsia="Times New Roman" w:hAnsi="Times New Roman" w:cs="Times New Roman"/>
                <w:iCs/>
                <w:sz w:val="24"/>
                <w:szCs w:val="24"/>
                <w:lang w:eastAsia="lv-LV"/>
              </w:rPr>
              <w:t>Nav.</w:t>
            </w:r>
          </w:p>
        </w:tc>
      </w:tr>
    </w:tbl>
    <w:p w14:paraId="18500B85" w14:textId="2CD8CE60" w:rsidR="00E5323B" w:rsidRPr="00FC4F45" w:rsidRDefault="00E5323B" w:rsidP="00E5323B">
      <w:pPr>
        <w:spacing w:after="0" w:line="240" w:lineRule="auto"/>
        <w:rPr>
          <w:rFonts w:ascii="Times New Roman" w:hAnsi="Times New Roman"/>
          <w:color w:val="FF0000"/>
          <w:sz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30B3" w:rsidRPr="00E5323B" w14:paraId="7BFD332C" w14:textId="77777777" w:rsidTr="0075792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82261E" w14:textId="77777777" w:rsidR="008730B3" w:rsidRPr="00FC4F45" w:rsidRDefault="008730B3" w:rsidP="00757928">
            <w:pPr>
              <w:spacing w:after="0" w:line="240" w:lineRule="auto"/>
              <w:rPr>
                <w:rFonts w:ascii="Times New Roman" w:hAnsi="Times New Roman"/>
                <w:b/>
                <w:sz w:val="24"/>
              </w:rPr>
            </w:pPr>
            <w:r w:rsidRPr="00FC4F45">
              <w:rPr>
                <w:rFonts w:ascii="Times New Roman" w:hAnsi="Times New Roman"/>
                <w:b/>
                <w:sz w:val="24"/>
              </w:rPr>
              <w:t>V. Tiesību akta projekta atbilstība Latvijas Republikas starptautiskajām saistībām</w:t>
            </w:r>
          </w:p>
        </w:tc>
      </w:tr>
      <w:tr w:rsidR="008730B3" w:rsidRPr="00E5323B" w14:paraId="6F02A140" w14:textId="77777777" w:rsidTr="0075792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A11CDD" w14:textId="77777777"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1.</w:t>
            </w:r>
          </w:p>
        </w:tc>
        <w:tc>
          <w:tcPr>
            <w:tcW w:w="1700" w:type="pct"/>
            <w:tcBorders>
              <w:top w:val="outset" w:sz="6" w:space="0" w:color="auto"/>
              <w:left w:val="outset" w:sz="6" w:space="0" w:color="auto"/>
              <w:bottom w:val="outset" w:sz="6" w:space="0" w:color="auto"/>
              <w:right w:val="outset" w:sz="6" w:space="0" w:color="auto"/>
            </w:tcBorders>
            <w:hideMark/>
          </w:tcPr>
          <w:p w14:paraId="2EDD2A1F" w14:textId="77777777"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5A5A6F3" w14:textId="1926D3C9" w:rsidR="008730B3" w:rsidRPr="00FC4F45" w:rsidRDefault="005B1275" w:rsidP="00757928">
            <w:pPr>
              <w:spacing w:after="0" w:line="240" w:lineRule="auto"/>
              <w:rPr>
                <w:rFonts w:ascii="Times New Roman" w:hAnsi="Times New Roman"/>
                <w:sz w:val="24"/>
              </w:rPr>
            </w:pPr>
            <w:r w:rsidRPr="005B1275">
              <w:rPr>
                <w:rFonts w:ascii="Times New Roman" w:hAnsi="Times New Roman"/>
                <w:sz w:val="24"/>
              </w:rPr>
              <w:t>Eiropas</w:t>
            </w:r>
            <w:r>
              <w:rPr>
                <w:rFonts w:ascii="Times New Roman" w:hAnsi="Times New Roman"/>
                <w:sz w:val="24"/>
              </w:rPr>
              <w:t xml:space="preserve"> Parlamenta un Padomes direktīva</w:t>
            </w:r>
            <w:r w:rsidRPr="005B1275">
              <w:rPr>
                <w:rFonts w:ascii="Times New Roman" w:hAnsi="Times New Roman"/>
                <w:sz w:val="24"/>
              </w:rPr>
              <w:t xml:space="preserve"> 2009/43/EK (2009. gada 6. maijs), ar ko vienkāršo noteikumus un nosacījumus ar aizsardzību saistīto ražojumu sūtījumiem</w:t>
            </w:r>
            <w:r w:rsidR="004E59B9" w:rsidRPr="00FC4F45">
              <w:rPr>
                <w:rFonts w:ascii="Times New Roman" w:hAnsi="Times New Roman"/>
                <w:sz w:val="24"/>
              </w:rPr>
              <w:t>.</w:t>
            </w:r>
          </w:p>
        </w:tc>
      </w:tr>
      <w:tr w:rsidR="008730B3" w:rsidRPr="00E5323B" w14:paraId="197455D3" w14:textId="77777777" w:rsidTr="0075792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10085" w14:textId="77777777"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2.</w:t>
            </w:r>
          </w:p>
        </w:tc>
        <w:tc>
          <w:tcPr>
            <w:tcW w:w="1700" w:type="pct"/>
            <w:tcBorders>
              <w:top w:val="outset" w:sz="6" w:space="0" w:color="auto"/>
              <w:left w:val="outset" w:sz="6" w:space="0" w:color="auto"/>
              <w:bottom w:val="outset" w:sz="6" w:space="0" w:color="auto"/>
              <w:right w:val="outset" w:sz="6" w:space="0" w:color="auto"/>
            </w:tcBorders>
            <w:hideMark/>
          </w:tcPr>
          <w:p w14:paraId="02ADDA4B" w14:textId="77777777"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29C18E8" w14:textId="18434A2E" w:rsidR="008730B3" w:rsidRPr="00FC4F45" w:rsidRDefault="008730B3" w:rsidP="00FC4F45">
            <w:pPr>
              <w:rPr>
                <w:rFonts w:ascii="Times New Roman" w:hAnsi="Times New Roman"/>
                <w:sz w:val="24"/>
              </w:rPr>
            </w:pPr>
            <w:r w:rsidRPr="00FC4F45">
              <w:rPr>
                <w:rFonts w:ascii="Times New Roman" w:hAnsi="Times New Roman"/>
                <w:sz w:val="24"/>
              </w:rPr>
              <w:t>Projekts šo jomu neskar.</w:t>
            </w:r>
          </w:p>
        </w:tc>
      </w:tr>
      <w:tr w:rsidR="008730B3" w:rsidRPr="00E5323B" w14:paraId="4C55E7C7" w14:textId="77777777" w:rsidTr="0075792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0D4C75" w14:textId="77777777"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3.</w:t>
            </w:r>
          </w:p>
        </w:tc>
        <w:tc>
          <w:tcPr>
            <w:tcW w:w="1700" w:type="pct"/>
            <w:tcBorders>
              <w:top w:val="outset" w:sz="6" w:space="0" w:color="auto"/>
              <w:left w:val="outset" w:sz="6" w:space="0" w:color="auto"/>
              <w:bottom w:val="outset" w:sz="6" w:space="0" w:color="auto"/>
              <w:right w:val="outset" w:sz="6" w:space="0" w:color="auto"/>
            </w:tcBorders>
            <w:hideMark/>
          </w:tcPr>
          <w:p w14:paraId="5C3ADEF2" w14:textId="77777777"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87DDD4" w14:textId="1CA8E96A" w:rsidR="008730B3" w:rsidRPr="00FC4F45" w:rsidRDefault="008730B3" w:rsidP="00757928">
            <w:pPr>
              <w:spacing w:after="0" w:line="240" w:lineRule="auto"/>
              <w:rPr>
                <w:rFonts w:ascii="Times New Roman" w:hAnsi="Times New Roman"/>
                <w:sz w:val="24"/>
              </w:rPr>
            </w:pPr>
            <w:r w:rsidRPr="00FC4F45">
              <w:rPr>
                <w:rFonts w:ascii="Times New Roman" w:hAnsi="Times New Roman"/>
                <w:sz w:val="24"/>
              </w:rPr>
              <w:t>Nav.</w:t>
            </w:r>
          </w:p>
        </w:tc>
      </w:tr>
    </w:tbl>
    <w:p w14:paraId="5AF411CE" w14:textId="3E9ABA3D" w:rsidR="00E5323B" w:rsidRPr="00FC4F45" w:rsidRDefault="00E5323B" w:rsidP="00E5323B">
      <w:pPr>
        <w:spacing w:after="0" w:line="240" w:lineRule="auto"/>
        <w:rPr>
          <w:rFonts w:ascii="Times New Roman" w:hAnsi="Times New Roman"/>
          <w:color w:val="FF0000"/>
          <w:sz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BD6123" w14:paraId="427B19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5BF2B6" w14:textId="77777777" w:rsidR="00655F2C" w:rsidRPr="00FC4F45" w:rsidRDefault="00E5323B" w:rsidP="00E5323B">
            <w:pPr>
              <w:spacing w:after="0" w:line="240" w:lineRule="auto"/>
              <w:rPr>
                <w:rFonts w:ascii="Times New Roman" w:hAnsi="Times New Roman"/>
                <w:b/>
                <w:sz w:val="24"/>
              </w:rPr>
            </w:pPr>
            <w:r w:rsidRPr="00FC4F45">
              <w:rPr>
                <w:rFonts w:ascii="Times New Roman" w:hAnsi="Times New Roman"/>
                <w:b/>
                <w:sz w:val="24"/>
              </w:rPr>
              <w:t>VI. Sabiedrības līdzdalība un komunikācijas aktivitātes</w:t>
            </w:r>
          </w:p>
        </w:tc>
      </w:tr>
      <w:tr w:rsidR="00BD6123" w:rsidRPr="00BD6123" w14:paraId="1664A105"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B93AF"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1.</w:t>
            </w:r>
          </w:p>
        </w:tc>
        <w:tc>
          <w:tcPr>
            <w:tcW w:w="1678" w:type="pct"/>
            <w:tcBorders>
              <w:top w:val="outset" w:sz="6" w:space="0" w:color="auto"/>
              <w:left w:val="outset" w:sz="6" w:space="0" w:color="auto"/>
              <w:bottom w:val="outset" w:sz="6" w:space="0" w:color="auto"/>
              <w:right w:val="outset" w:sz="6" w:space="0" w:color="auto"/>
            </w:tcBorders>
            <w:hideMark/>
          </w:tcPr>
          <w:p w14:paraId="2ADD6343"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4D321BE3" w14:textId="100B4E4C" w:rsidR="00E5323B" w:rsidRPr="00554F26" w:rsidRDefault="00850DED" w:rsidP="00FC4F45">
            <w:pPr>
              <w:spacing w:after="0" w:line="240" w:lineRule="auto"/>
              <w:rPr>
                <w:rFonts w:ascii="Times New Roman" w:hAnsi="Times New Roman"/>
                <w:color w:val="FF0000"/>
                <w:sz w:val="24"/>
              </w:rPr>
            </w:pPr>
            <w:r w:rsidRPr="003F29F2">
              <w:rPr>
                <w:rFonts w:ascii="Times New Roman" w:eastAsia="Calibri" w:hAnsi="Times New Roman" w:cs="Times New Roman"/>
                <w:iCs/>
                <w:sz w:val="24"/>
                <w:szCs w:val="24"/>
              </w:rPr>
              <w:t>Saskaņā ar Ministru kabineta 2009.</w:t>
            </w:r>
            <w:r w:rsidR="00B87D04" w:rsidRPr="003F29F2">
              <w:rPr>
                <w:rFonts w:ascii="Times New Roman" w:hAnsi="Times New Roman" w:cs="Times New Roman"/>
                <w:sz w:val="24"/>
                <w:szCs w:val="24"/>
              </w:rPr>
              <w:t xml:space="preserve"> </w:t>
            </w:r>
            <w:r w:rsidRPr="003F29F2">
              <w:rPr>
                <w:rFonts w:ascii="Times New Roman" w:eastAsia="Calibri" w:hAnsi="Times New Roman" w:cs="Times New Roman"/>
                <w:iCs/>
                <w:sz w:val="24"/>
                <w:szCs w:val="24"/>
              </w:rPr>
              <w:t>gada 25.</w:t>
            </w:r>
            <w:r w:rsidR="00B87D04" w:rsidRPr="003F29F2">
              <w:rPr>
                <w:rFonts w:ascii="Times New Roman" w:hAnsi="Times New Roman" w:cs="Times New Roman"/>
                <w:sz w:val="24"/>
                <w:szCs w:val="24"/>
              </w:rPr>
              <w:t xml:space="preserve"> </w:t>
            </w:r>
            <w:r w:rsidRPr="003F29F2">
              <w:rPr>
                <w:rFonts w:ascii="Times New Roman" w:eastAsia="Calibri" w:hAnsi="Times New Roman" w:cs="Times New Roman"/>
                <w:iCs/>
                <w:sz w:val="24"/>
                <w:szCs w:val="24"/>
              </w:rPr>
              <w:t>augusta noteikumu Nr.</w:t>
            </w:r>
            <w:r w:rsidR="00B87D04" w:rsidRPr="003F29F2">
              <w:rPr>
                <w:rFonts w:ascii="Times New Roman" w:hAnsi="Times New Roman" w:cs="Times New Roman"/>
                <w:sz w:val="24"/>
                <w:szCs w:val="24"/>
              </w:rPr>
              <w:t xml:space="preserve"> </w:t>
            </w:r>
            <w:r w:rsidRPr="003F29F2">
              <w:rPr>
                <w:rFonts w:ascii="Times New Roman" w:eastAsia="Calibri" w:hAnsi="Times New Roman" w:cs="Times New Roman"/>
                <w:iCs/>
                <w:sz w:val="24"/>
                <w:szCs w:val="24"/>
              </w:rPr>
              <w:t>970 „Sabiedrības līdzdalības kārtība attīstības plānošanas procesā” 7.4.1</w:t>
            </w:r>
            <w:r w:rsidR="00B87D04" w:rsidRPr="003F29F2">
              <w:rPr>
                <w:rFonts w:ascii="Times New Roman" w:hAnsi="Times New Roman" w:cs="Times New Roman"/>
                <w:sz w:val="24"/>
                <w:szCs w:val="24"/>
              </w:rPr>
              <w:t xml:space="preserve"> </w:t>
            </w:r>
            <w:r w:rsidRPr="003F29F2">
              <w:rPr>
                <w:rFonts w:ascii="Times New Roman" w:eastAsia="Calibri" w:hAnsi="Times New Roman" w:cs="Times New Roman"/>
                <w:iCs/>
                <w:sz w:val="24"/>
                <w:szCs w:val="24"/>
              </w:rPr>
              <w:t>apakšp</w:t>
            </w:r>
            <w:r w:rsidR="00F968AB" w:rsidRPr="003F29F2">
              <w:rPr>
                <w:rFonts w:ascii="Times New Roman" w:eastAsia="Calibri" w:hAnsi="Times New Roman" w:cs="Times New Roman"/>
                <w:iCs/>
                <w:sz w:val="24"/>
                <w:szCs w:val="24"/>
              </w:rPr>
              <w:t>unktu sabiedrības pārstāvji tika</w:t>
            </w:r>
            <w:r w:rsidRPr="003F29F2">
              <w:rPr>
                <w:rFonts w:ascii="Times New Roman" w:eastAsia="Calibri" w:hAnsi="Times New Roman" w:cs="Times New Roman"/>
                <w:iCs/>
                <w:sz w:val="24"/>
                <w:szCs w:val="24"/>
              </w:rPr>
              <w:t xml:space="preserve"> aicināti līdzdarboties, rakstiski sniedzot viedokli par </w:t>
            </w:r>
            <w:r w:rsidR="001B5BEF" w:rsidRPr="003F29F2">
              <w:rPr>
                <w:rFonts w:ascii="Times New Roman" w:eastAsia="Calibri" w:hAnsi="Times New Roman" w:cs="Times New Roman"/>
                <w:iCs/>
                <w:sz w:val="24"/>
                <w:szCs w:val="24"/>
              </w:rPr>
              <w:t>noteikumu projektu un nodevu noteikumu projektu</w:t>
            </w:r>
            <w:r w:rsidRPr="003F29F2">
              <w:rPr>
                <w:rFonts w:ascii="Times New Roman" w:eastAsia="Calibri" w:hAnsi="Times New Roman" w:cs="Times New Roman"/>
                <w:iCs/>
                <w:sz w:val="24"/>
                <w:szCs w:val="24"/>
              </w:rPr>
              <w:t xml:space="preserve"> tā izstrādes stadijā.</w:t>
            </w:r>
          </w:p>
        </w:tc>
      </w:tr>
      <w:tr w:rsidR="00BD6123" w:rsidRPr="00BD6123" w14:paraId="4BF634DD" w14:textId="77777777" w:rsidTr="00FC4F45">
        <w:trPr>
          <w:trHeight w:val="7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81F038"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2.</w:t>
            </w:r>
          </w:p>
        </w:tc>
        <w:tc>
          <w:tcPr>
            <w:tcW w:w="1678" w:type="pct"/>
            <w:tcBorders>
              <w:top w:val="outset" w:sz="6" w:space="0" w:color="auto"/>
              <w:left w:val="outset" w:sz="6" w:space="0" w:color="auto"/>
              <w:bottom w:val="outset" w:sz="6" w:space="0" w:color="auto"/>
              <w:right w:val="outset" w:sz="6" w:space="0" w:color="auto"/>
            </w:tcBorders>
            <w:hideMark/>
          </w:tcPr>
          <w:p w14:paraId="6CE95F0B"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FF02CDF" w14:textId="4AD964F8" w:rsidR="00584BDC" w:rsidRPr="009E42A8" w:rsidRDefault="00584BDC" w:rsidP="001109B1">
            <w:pPr>
              <w:spacing w:after="0" w:line="240" w:lineRule="auto"/>
              <w:rPr>
                <w:rFonts w:ascii="Times New Roman" w:hAnsi="Times New Roman"/>
                <w:sz w:val="24"/>
              </w:rPr>
            </w:pPr>
            <w:r w:rsidRPr="009E42A8">
              <w:rPr>
                <w:rFonts w:ascii="Times New Roman" w:hAnsi="Times New Roman"/>
                <w:sz w:val="24"/>
              </w:rPr>
              <w:t>Projekts 20</w:t>
            </w:r>
            <w:r w:rsidR="009E42A8" w:rsidRPr="009E42A8">
              <w:rPr>
                <w:rFonts w:ascii="Times New Roman" w:hAnsi="Times New Roman"/>
                <w:sz w:val="24"/>
              </w:rPr>
              <w:t>20</w:t>
            </w:r>
            <w:r w:rsidRPr="009E42A8">
              <w:rPr>
                <w:rFonts w:ascii="Times New Roman" w:hAnsi="Times New Roman"/>
                <w:sz w:val="24"/>
              </w:rPr>
              <w:t>.</w:t>
            </w:r>
            <w:r w:rsidR="009E42A8" w:rsidRPr="009E42A8">
              <w:rPr>
                <w:rFonts w:ascii="Times New Roman" w:hAnsi="Times New Roman"/>
                <w:sz w:val="24"/>
              </w:rPr>
              <w:t xml:space="preserve"> </w:t>
            </w:r>
            <w:r w:rsidRPr="009E42A8">
              <w:rPr>
                <w:rFonts w:ascii="Times New Roman" w:hAnsi="Times New Roman"/>
                <w:sz w:val="24"/>
              </w:rPr>
              <w:t xml:space="preserve">gada </w:t>
            </w:r>
            <w:r w:rsidR="001109B1">
              <w:rPr>
                <w:rFonts w:ascii="Times New Roman" w:hAnsi="Times New Roman"/>
                <w:sz w:val="24"/>
              </w:rPr>
              <w:t>22</w:t>
            </w:r>
            <w:r w:rsidRPr="009E42A8">
              <w:rPr>
                <w:rFonts w:ascii="Times New Roman" w:hAnsi="Times New Roman"/>
                <w:sz w:val="24"/>
              </w:rPr>
              <w:t>.</w:t>
            </w:r>
            <w:r w:rsidR="009E42A8" w:rsidRPr="009E42A8">
              <w:rPr>
                <w:rFonts w:ascii="Times New Roman" w:hAnsi="Times New Roman"/>
                <w:sz w:val="24"/>
              </w:rPr>
              <w:t xml:space="preserve"> </w:t>
            </w:r>
            <w:r w:rsidR="001109B1">
              <w:rPr>
                <w:rFonts w:ascii="Times New Roman" w:hAnsi="Times New Roman"/>
                <w:sz w:val="24"/>
              </w:rPr>
              <w:t>decembrī</w:t>
            </w:r>
            <w:r w:rsidRPr="009E42A8">
              <w:rPr>
                <w:rFonts w:ascii="Times New Roman" w:hAnsi="Times New Roman"/>
                <w:sz w:val="24"/>
              </w:rPr>
              <w:t xml:space="preserve"> publicēts Ārlietu ministrijas tīmekļvietnē,</w:t>
            </w:r>
            <w:r w:rsidRPr="009E42A8">
              <w:rPr>
                <w:rFonts w:ascii="Times New Roman" w:hAnsi="Times New Roman"/>
                <w:iCs/>
                <w:sz w:val="24"/>
              </w:rPr>
              <w:t xml:space="preserve"> sadaļā “Ārlietu ministrijas ierosinātie un saskaņošanas procesā esošie tiesību aktu projekti”, adrese: </w:t>
            </w:r>
            <w:r w:rsidR="009E42A8" w:rsidRPr="009E42A8">
              <w:rPr>
                <w:rFonts w:ascii="Times New Roman" w:hAnsi="Times New Roman"/>
                <w:iCs/>
                <w:sz w:val="24"/>
              </w:rPr>
              <w:t>https://www.mfa.gov.lv/aktualitates/zinas/projekti-un-lemumi-valdiba/arlietu-ministrijas-ierosinatie-un-saskanosanas-procesa-esosie-tiesibu-aktu-projekti</w:t>
            </w:r>
            <w:r w:rsidRPr="009E42A8">
              <w:rPr>
                <w:rFonts w:ascii="Times New Roman" w:hAnsi="Times New Roman"/>
                <w:iCs/>
                <w:sz w:val="24"/>
              </w:rPr>
              <w:t>.</w:t>
            </w:r>
            <w:bookmarkStart w:id="0" w:name="_GoBack"/>
            <w:bookmarkEnd w:id="0"/>
          </w:p>
        </w:tc>
      </w:tr>
      <w:tr w:rsidR="00BD6123" w:rsidRPr="00BD6123" w14:paraId="0C305BA4"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56D18F"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3.</w:t>
            </w:r>
          </w:p>
        </w:tc>
        <w:tc>
          <w:tcPr>
            <w:tcW w:w="1678" w:type="pct"/>
            <w:tcBorders>
              <w:top w:val="outset" w:sz="6" w:space="0" w:color="auto"/>
              <w:left w:val="outset" w:sz="6" w:space="0" w:color="auto"/>
              <w:bottom w:val="outset" w:sz="6" w:space="0" w:color="auto"/>
              <w:right w:val="outset" w:sz="6" w:space="0" w:color="auto"/>
            </w:tcBorders>
            <w:hideMark/>
          </w:tcPr>
          <w:p w14:paraId="00B23B89"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0A2AF6A" w14:textId="6AECAEEB" w:rsidR="00E5323B" w:rsidRPr="009E42A8" w:rsidRDefault="009E42A8" w:rsidP="00FC4F45">
            <w:pPr>
              <w:spacing w:after="0" w:line="240" w:lineRule="auto"/>
              <w:rPr>
                <w:rFonts w:ascii="Times New Roman" w:hAnsi="Times New Roman"/>
                <w:sz w:val="24"/>
              </w:rPr>
            </w:pPr>
            <w:r w:rsidRPr="009E42A8">
              <w:rPr>
                <w:rFonts w:ascii="Times New Roman" w:eastAsia="Calibri" w:hAnsi="Times New Roman" w:cs="Times New Roman"/>
                <w:sz w:val="24"/>
              </w:rPr>
              <w:t>Sabiedrības pārstāvju iebildumi un priekšlikumi nav saņemti</w:t>
            </w:r>
            <w:r w:rsidR="00584BDC" w:rsidRPr="009E42A8">
              <w:rPr>
                <w:rFonts w:ascii="Times New Roman" w:eastAsia="Calibri" w:hAnsi="Times New Roman" w:cs="Times New Roman"/>
                <w:sz w:val="24"/>
              </w:rPr>
              <w:t>.</w:t>
            </w:r>
          </w:p>
        </w:tc>
      </w:tr>
      <w:tr w:rsidR="00BD6123" w:rsidRPr="00BD6123" w14:paraId="2AF7CCE6" w14:textId="77777777" w:rsidTr="00FC4F45">
        <w:trPr>
          <w:trHeight w:val="14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385142"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4.</w:t>
            </w:r>
          </w:p>
        </w:tc>
        <w:tc>
          <w:tcPr>
            <w:tcW w:w="1678" w:type="pct"/>
            <w:tcBorders>
              <w:top w:val="outset" w:sz="6" w:space="0" w:color="auto"/>
              <w:left w:val="outset" w:sz="6" w:space="0" w:color="auto"/>
              <w:bottom w:val="outset" w:sz="6" w:space="0" w:color="auto"/>
              <w:right w:val="outset" w:sz="6" w:space="0" w:color="auto"/>
            </w:tcBorders>
            <w:hideMark/>
          </w:tcPr>
          <w:p w14:paraId="29923109"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6FFADD" w14:textId="276FD37E" w:rsidR="00E5323B" w:rsidRPr="00FC4F45" w:rsidRDefault="00AF161A" w:rsidP="00FC4F45">
            <w:pPr>
              <w:spacing w:after="0" w:line="240" w:lineRule="auto"/>
              <w:rPr>
                <w:rFonts w:ascii="Times New Roman" w:hAnsi="Times New Roman"/>
                <w:sz w:val="24"/>
              </w:rPr>
            </w:pPr>
            <w:r w:rsidRPr="00FC4F45">
              <w:rPr>
                <w:rFonts w:ascii="Times New Roman" w:hAnsi="Times New Roman"/>
                <w:sz w:val="24"/>
              </w:rPr>
              <w:t>Nav</w:t>
            </w:r>
            <w:r w:rsidR="002E01BD" w:rsidRPr="00FC4F45">
              <w:rPr>
                <w:rFonts w:ascii="Times New Roman" w:hAnsi="Times New Roman"/>
                <w:sz w:val="24"/>
              </w:rPr>
              <w:t>.</w:t>
            </w:r>
          </w:p>
        </w:tc>
      </w:tr>
    </w:tbl>
    <w:p w14:paraId="7F7C5A82" w14:textId="77777777" w:rsidR="00E5323B" w:rsidRPr="00FC4F45" w:rsidRDefault="00E5323B" w:rsidP="00E5323B">
      <w:pPr>
        <w:spacing w:after="0" w:line="240" w:lineRule="auto"/>
        <w:rPr>
          <w:rFonts w:ascii="Times New Roman" w:hAnsi="Times New Roman"/>
          <w:color w:val="FF0000"/>
          <w:sz w:val="24"/>
        </w:rPr>
      </w:pPr>
      <w:r w:rsidRPr="00FC4F45">
        <w:rPr>
          <w:rFonts w:ascii="Times New Roman" w:hAnsi="Times New Roman"/>
          <w:color w:val="FF0000"/>
          <w:sz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6123" w:rsidRPr="00BD6123" w14:paraId="5554C5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A92DF4" w14:textId="77777777" w:rsidR="00655F2C" w:rsidRPr="00FC4F45" w:rsidRDefault="00E5323B" w:rsidP="00E5323B">
            <w:pPr>
              <w:spacing w:after="0" w:line="240" w:lineRule="auto"/>
              <w:rPr>
                <w:rFonts w:ascii="Times New Roman" w:hAnsi="Times New Roman"/>
                <w:b/>
                <w:sz w:val="24"/>
              </w:rPr>
            </w:pPr>
            <w:r w:rsidRPr="00FC4F45">
              <w:rPr>
                <w:rFonts w:ascii="Times New Roman" w:hAnsi="Times New Roman"/>
                <w:b/>
                <w:sz w:val="24"/>
              </w:rPr>
              <w:lastRenderedPageBreak/>
              <w:t>VII. Tiesību akta projekta izpildes nodrošināšana un tās ietekme uz institūcijām</w:t>
            </w:r>
          </w:p>
        </w:tc>
      </w:tr>
      <w:tr w:rsidR="00BD6123" w:rsidRPr="00BD6123" w14:paraId="6E294EEC"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81338"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1.</w:t>
            </w:r>
          </w:p>
        </w:tc>
        <w:tc>
          <w:tcPr>
            <w:tcW w:w="1678" w:type="pct"/>
            <w:tcBorders>
              <w:top w:val="outset" w:sz="6" w:space="0" w:color="auto"/>
              <w:left w:val="outset" w:sz="6" w:space="0" w:color="auto"/>
              <w:bottom w:val="outset" w:sz="6" w:space="0" w:color="auto"/>
              <w:right w:val="outset" w:sz="6" w:space="0" w:color="auto"/>
            </w:tcBorders>
            <w:hideMark/>
          </w:tcPr>
          <w:p w14:paraId="724613F2"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5782B7F" w14:textId="06DF39DF" w:rsidR="00E5323B" w:rsidRPr="00FC4F45" w:rsidRDefault="00BD6123" w:rsidP="00FC4F45">
            <w:pPr>
              <w:snapToGrid w:val="0"/>
              <w:jc w:val="both"/>
              <w:rPr>
                <w:rFonts w:ascii="Times New Roman" w:hAnsi="Times New Roman"/>
                <w:sz w:val="24"/>
              </w:rPr>
            </w:pPr>
            <w:r w:rsidRPr="00FC4F45">
              <w:rPr>
                <w:rFonts w:ascii="Times New Roman" w:hAnsi="Times New Roman"/>
                <w:sz w:val="24"/>
              </w:rPr>
              <w:t>Ārlietu ministrija, Stratēģiskas nozīmes preču kontroles komiteja</w:t>
            </w:r>
            <w:r w:rsidR="00886D5F">
              <w:rPr>
                <w:rFonts w:ascii="Times New Roman" w:hAnsi="Times New Roman"/>
                <w:sz w:val="24"/>
              </w:rPr>
              <w:t>.</w:t>
            </w:r>
          </w:p>
        </w:tc>
      </w:tr>
      <w:tr w:rsidR="00BD6123" w:rsidRPr="00BD6123" w14:paraId="142DFF5B"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C59EE2"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2.</w:t>
            </w:r>
          </w:p>
        </w:tc>
        <w:tc>
          <w:tcPr>
            <w:tcW w:w="1678" w:type="pct"/>
            <w:tcBorders>
              <w:top w:val="outset" w:sz="6" w:space="0" w:color="auto"/>
              <w:left w:val="outset" w:sz="6" w:space="0" w:color="auto"/>
              <w:bottom w:val="outset" w:sz="6" w:space="0" w:color="auto"/>
              <w:right w:val="outset" w:sz="6" w:space="0" w:color="auto"/>
            </w:tcBorders>
            <w:hideMark/>
          </w:tcPr>
          <w:p w14:paraId="556D1459"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Projekta izpildes ietekme uz pārvaldes funkcijām un institucionālo struktūru.</w:t>
            </w:r>
            <w:r w:rsidRPr="00FC4F45">
              <w:rPr>
                <w:rFonts w:ascii="Times New Roman" w:hAnsi="Times New Roman"/>
                <w:sz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4B288C7" w14:textId="77777777" w:rsidR="00AF161A" w:rsidRPr="00FC4F45" w:rsidRDefault="00AF161A" w:rsidP="00AF161A">
            <w:pPr>
              <w:spacing w:after="0" w:line="240" w:lineRule="auto"/>
              <w:jc w:val="both"/>
              <w:rPr>
                <w:rFonts w:ascii="Times New Roman" w:hAnsi="Times New Roman"/>
                <w:sz w:val="24"/>
              </w:rPr>
            </w:pPr>
            <w:r w:rsidRPr="00FC4F45">
              <w:rPr>
                <w:rFonts w:ascii="Times New Roman" w:hAnsi="Times New Roman"/>
                <w:sz w:val="24"/>
              </w:rPr>
              <w:t>Projekta izpilde notiks esošo pārvaldes funkciju ietvaros.</w:t>
            </w:r>
          </w:p>
          <w:p w14:paraId="60360A17" w14:textId="77777777" w:rsidR="00E5323B" w:rsidRPr="00FC4F45" w:rsidRDefault="00AF161A" w:rsidP="00AF161A">
            <w:pPr>
              <w:spacing w:after="0" w:line="240" w:lineRule="auto"/>
              <w:jc w:val="both"/>
              <w:rPr>
                <w:rFonts w:ascii="Times New Roman" w:hAnsi="Times New Roman"/>
                <w:sz w:val="24"/>
              </w:rPr>
            </w:pPr>
            <w:r w:rsidRPr="00FC4F45">
              <w:rPr>
                <w:rFonts w:ascii="Times New Roman" w:hAnsi="Times New Roman"/>
                <w:sz w:val="24"/>
              </w:rPr>
              <w:t>Noteikumu projekts neparedz jaunu institūciju izveidi, esošo likvidēšanu vai reorganizāciju.</w:t>
            </w:r>
          </w:p>
        </w:tc>
      </w:tr>
      <w:tr w:rsidR="00BD6123" w:rsidRPr="00BD6123" w14:paraId="11CA8B19" w14:textId="77777777" w:rsidTr="00FC4F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AA0838" w14:textId="77777777" w:rsidR="00655F2C" w:rsidRPr="00FC4F45" w:rsidRDefault="00E5323B" w:rsidP="00E5323B">
            <w:pPr>
              <w:spacing w:after="0" w:line="240" w:lineRule="auto"/>
              <w:rPr>
                <w:rFonts w:ascii="Times New Roman" w:hAnsi="Times New Roman"/>
                <w:sz w:val="24"/>
              </w:rPr>
            </w:pPr>
            <w:r w:rsidRPr="00FC4F45">
              <w:rPr>
                <w:rFonts w:ascii="Times New Roman" w:hAnsi="Times New Roman"/>
                <w:sz w:val="24"/>
              </w:rPr>
              <w:t>3.</w:t>
            </w:r>
          </w:p>
        </w:tc>
        <w:tc>
          <w:tcPr>
            <w:tcW w:w="1678" w:type="pct"/>
            <w:tcBorders>
              <w:top w:val="outset" w:sz="6" w:space="0" w:color="auto"/>
              <w:left w:val="outset" w:sz="6" w:space="0" w:color="auto"/>
              <w:bottom w:val="outset" w:sz="6" w:space="0" w:color="auto"/>
              <w:right w:val="outset" w:sz="6" w:space="0" w:color="auto"/>
            </w:tcBorders>
            <w:hideMark/>
          </w:tcPr>
          <w:p w14:paraId="6D0A3517" w14:textId="77777777" w:rsidR="00E5323B" w:rsidRPr="00FC4F45" w:rsidRDefault="00E5323B" w:rsidP="00E5323B">
            <w:pPr>
              <w:spacing w:after="0" w:line="240" w:lineRule="auto"/>
              <w:rPr>
                <w:rFonts w:ascii="Times New Roman" w:hAnsi="Times New Roman"/>
                <w:sz w:val="24"/>
              </w:rPr>
            </w:pPr>
            <w:r w:rsidRPr="00FC4F45">
              <w:rPr>
                <w:rFonts w:ascii="Times New Roman" w:hAnsi="Times New Roman"/>
                <w:sz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BA3B103" w14:textId="0B6EA38A" w:rsidR="00E5323B" w:rsidRPr="00FC4F45" w:rsidRDefault="00BD6123" w:rsidP="00E5323B">
            <w:pPr>
              <w:spacing w:after="0" w:line="240" w:lineRule="auto"/>
              <w:rPr>
                <w:rFonts w:ascii="Times New Roman" w:hAnsi="Times New Roman"/>
                <w:sz w:val="24"/>
              </w:rPr>
            </w:pPr>
            <w:r w:rsidRPr="00FC4F45">
              <w:rPr>
                <w:rFonts w:ascii="Times New Roman" w:hAnsi="Times New Roman"/>
                <w:sz w:val="24"/>
              </w:rPr>
              <w:t>Nav</w:t>
            </w:r>
            <w:r w:rsidR="00B87D04" w:rsidRPr="00AA1C93">
              <w:rPr>
                <w:rFonts w:ascii="Times New Roman" w:hAnsi="Times New Roman" w:cs="Times New Roman"/>
                <w:sz w:val="24"/>
                <w:szCs w:val="26"/>
              </w:rPr>
              <w:t>.</w:t>
            </w:r>
          </w:p>
        </w:tc>
      </w:tr>
    </w:tbl>
    <w:p w14:paraId="2246EABE" w14:textId="77777777" w:rsidR="00C25B49" w:rsidRPr="00BD6123" w:rsidRDefault="00C25B49" w:rsidP="00894C55">
      <w:pPr>
        <w:spacing w:after="0" w:line="240" w:lineRule="auto"/>
        <w:rPr>
          <w:rFonts w:ascii="Times New Roman" w:hAnsi="Times New Roman" w:cs="Times New Roman"/>
          <w:sz w:val="28"/>
          <w:szCs w:val="28"/>
        </w:rPr>
      </w:pPr>
    </w:p>
    <w:p w14:paraId="15A83865" w14:textId="77777777" w:rsidR="00E5323B" w:rsidRPr="00FC4F45" w:rsidRDefault="00E5323B" w:rsidP="00FC4F45">
      <w:pPr>
        <w:pStyle w:val="Body"/>
        <w:spacing w:after="0" w:line="240" w:lineRule="auto"/>
        <w:ind w:firstLine="709"/>
        <w:jc w:val="both"/>
        <w:rPr>
          <w:rFonts w:ascii="Times New Roman" w:hAnsi="Times New Roman"/>
          <w:sz w:val="28"/>
          <w:lang w:val="de-DE"/>
        </w:rPr>
      </w:pPr>
      <w:bookmarkStart w:id="1" w:name="OLE_LINK1"/>
      <w:bookmarkStart w:id="2" w:name="OLE_LINK2"/>
    </w:p>
    <w:p w14:paraId="71882519" w14:textId="77777777" w:rsidR="00BD6123" w:rsidRPr="00FC4F45" w:rsidRDefault="00BD6123" w:rsidP="00FC4F45">
      <w:pPr>
        <w:pStyle w:val="Body"/>
        <w:spacing w:after="0" w:line="240" w:lineRule="auto"/>
        <w:ind w:firstLine="709"/>
        <w:jc w:val="both"/>
        <w:rPr>
          <w:rFonts w:ascii="Times New Roman" w:hAnsi="Times New Roman"/>
          <w:sz w:val="28"/>
          <w:lang w:val="de-DE"/>
        </w:rPr>
      </w:pPr>
    </w:p>
    <w:p w14:paraId="0F0428F2" w14:textId="0BD2B1A4" w:rsidR="00BD6123" w:rsidRPr="00FC4F45" w:rsidRDefault="00BD6123" w:rsidP="00390D52">
      <w:pPr>
        <w:pStyle w:val="Body"/>
        <w:tabs>
          <w:tab w:val="left" w:pos="6237"/>
        </w:tabs>
        <w:spacing w:after="0" w:line="240" w:lineRule="auto"/>
        <w:jc w:val="both"/>
        <w:rPr>
          <w:rFonts w:ascii="Times New Roman" w:hAnsi="Times New Roman"/>
          <w:sz w:val="28"/>
          <w:lang w:val="de-DE"/>
        </w:rPr>
      </w:pPr>
      <w:r w:rsidRPr="00FC4F45">
        <w:rPr>
          <w:rFonts w:ascii="Times New Roman" w:hAnsi="Times New Roman"/>
          <w:color w:val="auto"/>
          <w:sz w:val="28"/>
          <w:lang w:val="de-DE"/>
        </w:rPr>
        <w:t>Ārlietu ministrs</w:t>
      </w:r>
      <w:r w:rsidRPr="00FC4F45">
        <w:rPr>
          <w:rFonts w:ascii="Times New Roman" w:hAnsi="Times New Roman"/>
          <w:color w:val="auto"/>
          <w:sz w:val="28"/>
          <w:lang w:val="de-DE"/>
        </w:rPr>
        <w:tab/>
      </w:r>
      <w:r w:rsidR="00584BDC">
        <w:rPr>
          <w:rFonts w:ascii="Times New Roman" w:hAnsi="Times New Roman"/>
          <w:color w:val="auto"/>
          <w:sz w:val="28"/>
          <w:lang w:val="de-DE"/>
        </w:rPr>
        <w:tab/>
      </w:r>
      <w:r w:rsidR="00584BDC">
        <w:rPr>
          <w:rFonts w:ascii="Times New Roman" w:hAnsi="Times New Roman"/>
          <w:color w:val="auto"/>
          <w:sz w:val="28"/>
          <w:lang w:val="de-DE"/>
        </w:rPr>
        <w:tab/>
      </w:r>
      <w:r w:rsidRPr="00FC4F45">
        <w:rPr>
          <w:rFonts w:ascii="Times New Roman" w:hAnsi="Times New Roman"/>
          <w:color w:val="auto"/>
          <w:sz w:val="28"/>
          <w:lang w:val="de-DE"/>
        </w:rPr>
        <w:t>E.</w:t>
      </w:r>
      <w:r w:rsidR="006950F6">
        <w:rPr>
          <w:rFonts w:ascii="Times New Roman" w:hAnsi="Times New Roman"/>
          <w:color w:val="auto"/>
          <w:sz w:val="28"/>
          <w:lang w:val="de-DE"/>
        </w:rPr>
        <w:t> </w:t>
      </w:r>
      <w:r w:rsidRPr="00FC4F45">
        <w:rPr>
          <w:rFonts w:ascii="Times New Roman" w:hAnsi="Times New Roman"/>
          <w:color w:val="auto"/>
          <w:sz w:val="28"/>
          <w:lang w:val="de-DE"/>
        </w:rPr>
        <w:t>Rinkēvičs</w:t>
      </w:r>
    </w:p>
    <w:p w14:paraId="7449B1C6" w14:textId="77777777" w:rsidR="00894C55" w:rsidRDefault="00894C55" w:rsidP="00FC4F45">
      <w:pPr>
        <w:tabs>
          <w:tab w:val="left" w:pos="6804"/>
        </w:tabs>
        <w:spacing w:after="0" w:line="240" w:lineRule="auto"/>
        <w:ind w:right="-19"/>
        <w:jc w:val="both"/>
        <w:rPr>
          <w:rFonts w:ascii="Times New Roman" w:hAnsi="Times New Roman" w:cs="Times New Roman"/>
          <w:sz w:val="28"/>
          <w:szCs w:val="28"/>
        </w:rPr>
      </w:pPr>
    </w:p>
    <w:p w14:paraId="4A35EB0C" w14:textId="77777777" w:rsidR="00894C55" w:rsidRDefault="00894C55" w:rsidP="00FC4F45">
      <w:pPr>
        <w:tabs>
          <w:tab w:val="left" w:pos="6804"/>
        </w:tabs>
        <w:spacing w:after="0" w:line="240" w:lineRule="auto"/>
        <w:ind w:right="-19"/>
        <w:jc w:val="both"/>
        <w:rPr>
          <w:rFonts w:ascii="Times New Roman" w:hAnsi="Times New Roman" w:cs="Times New Roman"/>
          <w:sz w:val="28"/>
          <w:szCs w:val="28"/>
        </w:rPr>
      </w:pPr>
    </w:p>
    <w:p w14:paraId="1186F76A" w14:textId="77777777" w:rsidR="00894C55" w:rsidRDefault="00894C55" w:rsidP="00FC4F45">
      <w:pPr>
        <w:tabs>
          <w:tab w:val="left" w:pos="6804"/>
        </w:tabs>
        <w:spacing w:after="0" w:line="240" w:lineRule="auto"/>
        <w:ind w:right="-19"/>
        <w:jc w:val="both"/>
        <w:rPr>
          <w:rFonts w:ascii="Times New Roman" w:hAnsi="Times New Roman" w:cs="Times New Roman"/>
          <w:sz w:val="28"/>
          <w:szCs w:val="28"/>
        </w:rPr>
      </w:pPr>
    </w:p>
    <w:p w14:paraId="01CE5F00" w14:textId="77777777" w:rsidR="00894C55" w:rsidRDefault="00894C55" w:rsidP="00FC4F45">
      <w:pPr>
        <w:tabs>
          <w:tab w:val="left" w:pos="6804"/>
        </w:tabs>
        <w:spacing w:after="0" w:line="240" w:lineRule="auto"/>
        <w:ind w:right="-19"/>
        <w:jc w:val="both"/>
        <w:rPr>
          <w:rFonts w:ascii="Times New Roman" w:hAnsi="Times New Roman" w:cs="Times New Roman"/>
          <w:sz w:val="28"/>
          <w:szCs w:val="28"/>
        </w:rPr>
      </w:pPr>
    </w:p>
    <w:p w14:paraId="5EE00BD6" w14:textId="77777777" w:rsidR="00886D5F" w:rsidRDefault="00886D5F" w:rsidP="00FC4F45">
      <w:pPr>
        <w:tabs>
          <w:tab w:val="left" w:pos="6804"/>
        </w:tabs>
        <w:spacing w:after="0" w:line="240" w:lineRule="auto"/>
        <w:ind w:right="-14"/>
        <w:jc w:val="both"/>
        <w:rPr>
          <w:rFonts w:ascii="Times New Roman" w:hAnsi="Times New Roman" w:cs="Times New Roman"/>
          <w:sz w:val="24"/>
          <w:szCs w:val="28"/>
        </w:rPr>
      </w:pPr>
    </w:p>
    <w:p w14:paraId="40F0C135" w14:textId="77777777" w:rsidR="00886D5F" w:rsidRDefault="00886D5F" w:rsidP="00FC4F45">
      <w:pPr>
        <w:tabs>
          <w:tab w:val="left" w:pos="6804"/>
        </w:tabs>
        <w:spacing w:after="0" w:line="240" w:lineRule="auto"/>
        <w:ind w:right="-14"/>
        <w:jc w:val="both"/>
        <w:rPr>
          <w:rFonts w:ascii="Times New Roman" w:hAnsi="Times New Roman" w:cs="Times New Roman"/>
          <w:sz w:val="24"/>
          <w:szCs w:val="28"/>
        </w:rPr>
      </w:pPr>
    </w:p>
    <w:p w14:paraId="651F2D08" w14:textId="5432EE67" w:rsidR="00894C55" w:rsidRPr="00894C55" w:rsidRDefault="00F24F45" w:rsidP="00FC4F45">
      <w:pPr>
        <w:tabs>
          <w:tab w:val="left" w:pos="6804"/>
        </w:tabs>
        <w:spacing w:after="0" w:line="240" w:lineRule="auto"/>
        <w:ind w:right="-14"/>
        <w:jc w:val="both"/>
        <w:rPr>
          <w:rFonts w:ascii="Times New Roman" w:hAnsi="Times New Roman" w:cs="Times New Roman"/>
          <w:sz w:val="24"/>
          <w:szCs w:val="28"/>
        </w:rPr>
      </w:pPr>
      <w:r>
        <w:rPr>
          <w:rFonts w:ascii="Times New Roman" w:hAnsi="Times New Roman" w:cs="Times New Roman"/>
          <w:sz w:val="24"/>
          <w:szCs w:val="28"/>
        </w:rPr>
        <w:t>Rumpe</w:t>
      </w:r>
      <w:r w:rsidR="00BD6123">
        <w:rPr>
          <w:rFonts w:ascii="Times New Roman" w:hAnsi="Times New Roman" w:cs="Times New Roman"/>
          <w:sz w:val="24"/>
          <w:szCs w:val="28"/>
        </w:rPr>
        <w:t xml:space="preserve"> </w:t>
      </w:r>
      <w:r w:rsidR="00CB3FFB">
        <w:rPr>
          <w:rFonts w:ascii="Times New Roman" w:hAnsi="Times New Roman" w:cs="Times New Roman"/>
          <w:sz w:val="24"/>
          <w:szCs w:val="28"/>
        </w:rPr>
        <w:t>670164</w:t>
      </w:r>
      <w:bookmarkEnd w:id="1"/>
      <w:bookmarkEnd w:id="2"/>
      <w:r>
        <w:rPr>
          <w:rFonts w:ascii="Times New Roman" w:hAnsi="Times New Roman" w:cs="Times New Roman"/>
          <w:sz w:val="24"/>
          <w:szCs w:val="28"/>
        </w:rPr>
        <w:t>30</w:t>
      </w:r>
    </w:p>
    <w:p w14:paraId="3024673E" w14:textId="77777777" w:rsidR="00B87D04" w:rsidRPr="006950F6" w:rsidRDefault="006C39CB" w:rsidP="006950F6">
      <w:pPr>
        <w:tabs>
          <w:tab w:val="left" w:pos="6804"/>
        </w:tabs>
        <w:spacing w:after="0" w:line="240" w:lineRule="auto"/>
        <w:ind w:right="-14"/>
        <w:jc w:val="both"/>
        <w:rPr>
          <w:rFonts w:ascii="Times New Roman" w:hAnsi="Times New Roman" w:cs="Times New Roman"/>
          <w:sz w:val="24"/>
          <w:szCs w:val="24"/>
        </w:rPr>
      </w:pPr>
      <w:hyperlink r:id="rId7" w:history="1">
        <w:r w:rsidR="00B87D04" w:rsidRPr="006950F6">
          <w:rPr>
            <w:rStyle w:val="Hyperlink"/>
            <w:rFonts w:ascii="Times New Roman" w:hAnsi="Times New Roman" w:cs="Times New Roman"/>
            <w:sz w:val="24"/>
            <w:szCs w:val="24"/>
          </w:rPr>
          <w:t>nauris.rumpe@mfa.gov.lv</w:t>
        </w:r>
      </w:hyperlink>
    </w:p>
    <w:sectPr w:rsidR="00B87D04" w:rsidRPr="006950F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AFE4" w14:textId="77777777" w:rsidR="006C39CB" w:rsidRDefault="006C39CB" w:rsidP="00894C55">
      <w:pPr>
        <w:spacing w:after="0" w:line="240" w:lineRule="auto"/>
      </w:pPr>
      <w:r>
        <w:separator/>
      </w:r>
    </w:p>
  </w:endnote>
  <w:endnote w:type="continuationSeparator" w:id="0">
    <w:p w14:paraId="096AAB2C" w14:textId="77777777" w:rsidR="006C39CB" w:rsidRDefault="006C39CB" w:rsidP="00894C55">
      <w:pPr>
        <w:spacing w:after="0" w:line="240" w:lineRule="auto"/>
      </w:pPr>
      <w:r>
        <w:continuationSeparator/>
      </w:r>
    </w:p>
  </w:endnote>
  <w:endnote w:type="continuationNotice" w:id="1">
    <w:p w14:paraId="089DFE68" w14:textId="77777777" w:rsidR="006C39CB" w:rsidRDefault="006C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8EA7" w14:textId="4083EC36" w:rsidR="00894C55" w:rsidRPr="000A7C6E" w:rsidRDefault="000A7C6E" w:rsidP="000A7C6E">
    <w:pPr>
      <w:pStyle w:val="Footer"/>
    </w:pPr>
    <w:r w:rsidRPr="00A71E37">
      <w:rPr>
        <w:rFonts w:ascii="Times New Roman" w:hAnsi="Times New Roman" w:cs="Times New Roman"/>
        <w:sz w:val="20"/>
        <w:szCs w:val="20"/>
      </w:rPr>
      <w:t>AM</w:t>
    </w:r>
    <w:r>
      <w:rPr>
        <w:rFonts w:ascii="Times New Roman" w:hAnsi="Times New Roman" w:cs="Times New Roman"/>
        <w:sz w:val="20"/>
        <w:szCs w:val="20"/>
      </w:rPr>
      <w:t>a</w:t>
    </w:r>
    <w:r w:rsidRPr="00A71E37">
      <w:rPr>
        <w:rFonts w:ascii="Times New Roman" w:hAnsi="Times New Roman" w:cs="Times New Roman"/>
        <w:sz w:val="20"/>
        <w:szCs w:val="20"/>
      </w:rPr>
      <w:t>not_24072020</w:t>
    </w:r>
    <w:r w:rsidR="00584BDC">
      <w:rPr>
        <w:rFonts w:ascii="Times New Roman" w:hAnsi="Times New Roman" w:cs="Times New Roman"/>
        <w:sz w:val="20"/>
        <w:szCs w:val="20"/>
      </w:rPr>
      <w:t>_importa licence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7D11" w14:textId="574F1B19" w:rsidR="009A2654" w:rsidRPr="00A71E37" w:rsidRDefault="00A71E37" w:rsidP="00A71E37">
    <w:pPr>
      <w:pStyle w:val="Footer"/>
    </w:pPr>
    <w:r w:rsidRPr="00A71E37">
      <w:rPr>
        <w:rFonts w:ascii="Times New Roman" w:hAnsi="Times New Roman" w:cs="Times New Roman"/>
        <w:sz w:val="20"/>
        <w:szCs w:val="20"/>
      </w:rPr>
      <w:t>AM</w:t>
    </w:r>
    <w:r>
      <w:rPr>
        <w:rFonts w:ascii="Times New Roman" w:hAnsi="Times New Roman" w:cs="Times New Roman"/>
        <w:sz w:val="20"/>
        <w:szCs w:val="20"/>
      </w:rPr>
      <w:t>a</w:t>
    </w:r>
    <w:r w:rsidRPr="00A71E37">
      <w:rPr>
        <w:rFonts w:ascii="Times New Roman" w:hAnsi="Times New Roman" w:cs="Times New Roman"/>
        <w:sz w:val="20"/>
        <w:szCs w:val="20"/>
      </w:rPr>
      <w:t>not_24072020</w:t>
    </w:r>
    <w:r w:rsidR="00584BDC">
      <w:rPr>
        <w:rFonts w:ascii="Times New Roman" w:hAnsi="Times New Roman" w:cs="Times New Roman"/>
        <w:sz w:val="20"/>
        <w:szCs w:val="20"/>
      </w:rPr>
      <w:t>_importa licence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9609" w14:textId="77777777" w:rsidR="006C39CB" w:rsidRDefault="006C39CB" w:rsidP="00894C55">
      <w:pPr>
        <w:spacing w:after="0" w:line="240" w:lineRule="auto"/>
      </w:pPr>
      <w:r>
        <w:separator/>
      </w:r>
    </w:p>
  </w:footnote>
  <w:footnote w:type="continuationSeparator" w:id="0">
    <w:p w14:paraId="36237D72" w14:textId="77777777" w:rsidR="006C39CB" w:rsidRDefault="006C39CB" w:rsidP="00894C55">
      <w:pPr>
        <w:spacing w:after="0" w:line="240" w:lineRule="auto"/>
      </w:pPr>
      <w:r>
        <w:continuationSeparator/>
      </w:r>
    </w:p>
  </w:footnote>
  <w:footnote w:type="continuationNotice" w:id="1">
    <w:p w14:paraId="5DDE8F8F" w14:textId="77777777" w:rsidR="006C39CB" w:rsidRDefault="006C3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673636" w14:textId="7EEF4A3D"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09B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160F"/>
    <w:rsid w:val="00046A61"/>
    <w:rsid w:val="00050EEB"/>
    <w:rsid w:val="000A3554"/>
    <w:rsid w:val="000A7C6E"/>
    <w:rsid w:val="000B2FBD"/>
    <w:rsid w:val="000B5AA4"/>
    <w:rsid w:val="000C15A9"/>
    <w:rsid w:val="000F51DF"/>
    <w:rsid w:val="001109B1"/>
    <w:rsid w:val="00120324"/>
    <w:rsid w:val="00124E9F"/>
    <w:rsid w:val="00140784"/>
    <w:rsid w:val="00180032"/>
    <w:rsid w:val="00180BBA"/>
    <w:rsid w:val="00195766"/>
    <w:rsid w:val="001B16B5"/>
    <w:rsid w:val="001B5BEF"/>
    <w:rsid w:val="001C0F2D"/>
    <w:rsid w:val="001C1E5B"/>
    <w:rsid w:val="001C5CB8"/>
    <w:rsid w:val="001D21DA"/>
    <w:rsid w:val="001D54F6"/>
    <w:rsid w:val="00206ECC"/>
    <w:rsid w:val="00217756"/>
    <w:rsid w:val="002250B4"/>
    <w:rsid w:val="00243426"/>
    <w:rsid w:val="0029100A"/>
    <w:rsid w:val="00297D8B"/>
    <w:rsid w:val="002C697A"/>
    <w:rsid w:val="002D108A"/>
    <w:rsid w:val="002E01BD"/>
    <w:rsid w:val="002E1C05"/>
    <w:rsid w:val="002E3461"/>
    <w:rsid w:val="002E4A2D"/>
    <w:rsid w:val="00324F9C"/>
    <w:rsid w:val="00337A3A"/>
    <w:rsid w:val="0034055C"/>
    <w:rsid w:val="0034627B"/>
    <w:rsid w:val="0036176C"/>
    <w:rsid w:val="00383A0C"/>
    <w:rsid w:val="00390D52"/>
    <w:rsid w:val="00392BEA"/>
    <w:rsid w:val="003B0BF9"/>
    <w:rsid w:val="003D01AB"/>
    <w:rsid w:val="003D4AF0"/>
    <w:rsid w:val="003D5D62"/>
    <w:rsid w:val="003D7DB1"/>
    <w:rsid w:val="003E0791"/>
    <w:rsid w:val="003E3F2D"/>
    <w:rsid w:val="003F28AC"/>
    <w:rsid w:val="003F29F2"/>
    <w:rsid w:val="0042265B"/>
    <w:rsid w:val="004454FE"/>
    <w:rsid w:val="00456E40"/>
    <w:rsid w:val="00465683"/>
    <w:rsid w:val="00471F27"/>
    <w:rsid w:val="00484882"/>
    <w:rsid w:val="004A5472"/>
    <w:rsid w:val="004C0BEB"/>
    <w:rsid w:val="004C3D0D"/>
    <w:rsid w:val="004D58BD"/>
    <w:rsid w:val="004E59B9"/>
    <w:rsid w:val="004F366C"/>
    <w:rsid w:val="00501182"/>
    <w:rsid w:val="0050178F"/>
    <w:rsid w:val="005026D5"/>
    <w:rsid w:val="00502F9F"/>
    <w:rsid w:val="00506C64"/>
    <w:rsid w:val="00521B12"/>
    <w:rsid w:val="00554F26"/>
    <w:rsid w:val="005648BA"/>
    <w:rsid w:val="0057242E"/>
    <w:rsid w:val="00572518"/>
    <w:rsid w:val="00575CA3"/>
    <w:rsid w:val="00577804"/>
    <w:rsid w:val="00584BDC"/>
    <w:rsid w:val="005B1275"/>
    <w:rsid w:val="005B1B9D"/>
    <w:rsid w:val="005B4955"/>
    <w:rsid w:val="006050EF"/>
    <w:rsid w:val="00623676"/>
    <w:rsid w:val="00637DA8"/>
    <w:rsid w:val="00650A6A"/>
    <w:rsid w:val="00655F2C"/>
    <w:rsid w:val="0066085B"/>
    <w:rsid w:val="006616A2"/>
    <w:rsid w:val="00667AAA"/>
    <w:rsid w:val="0068330A"/>
    <w:rsid w:val="006950F6"/>
    <w:rsid w:val="006A1989"/>
    <w:rsid w:val="006A7CE2"/>
    <w:rsid w:val="006B7390"/>
    <w:rsid w:val="006C39CB"/>
    <w:rsid w:val="006C5429"/>
    <w:rsid w:val="006E1081"/>
    <w:rsid w:val="00707762"/>
    <w:rsid w:val="00712801"/>
    <w:rsid w:val="00720585"/>
    <w:rsid w:val="00724EC1"/>
    <w:rsid w:val="0073605D"/>
    <w:rsid w:val="00737C0C"/>
    <w:rsid w:val="00740E23"/>
    <w:rsid w:val="00745756"/>
    <w:rsid w:val="007505D7"/>
    <w:rsid w:val="00755937"/>
    <w:rsid w:val="0077255F"/>
    <w:rsid w:val="00773AF6"/>
    <w:rsid w:val="00774344"/>
    <w:rsid w:val="007777F8"/>
    <w:rsid w:val="00781775"/>
    <w:rsid w:val="00795F71"/>
    <w:rsid w:val="007A2E11"/>
    <w:rsid w:val="007A7C1D"/>
    <w:rsid w:val="007B0142"/>
    <w:rsid w:val="007B6784"/>
    <w:rsid w:val="007C2A32"/>
    <w:rsid w:val="007E5F7A"/>
    <w:rsid w:val="007E73AB"/>
    <w:rsid w:val="007E7A8D"/>
    <w:rsid w:val="007F2632"/>
    <w:rsid w:val="00816C11"/>
    <w:rsid w:val="00824A13"/>
    <w:rsid w:val="0083185B"/>
    <w:rsid w:val="00841448"/>
    <w:rsid w:val="00843E4E"/>
    <w:rsid w:val="00845939"/>
    <w:rsid w:val="00850DED"/>
    <w:rsid w:val="0085618B"/>
    <w:rsid w:val="0087295C"/>
    <w:rsid w:val="008730B3"/>
    <w:rsid w:val="0088255A"/>
    <w:rsid w:val="00886D5F"/>
    <w:rsid w:val="00894C55"/>
    <w:rsid w:val="008E283C"/>
    <w:rsid w:val="009018E4"/>
    <w:rsid w:val="00925E3D"/>
    <w:rsid w:val="00944FF1"/>
    <w:rsid w:val="00947393"/>
    <w:rsid w:val="009724D6"/>
    <w:rsid w:val="00973C8C"/>
    <w:rsid w:val="00981FBB"/>
    <w:rsid w:val="009A2654"/>
    <w:rsid w:val="009B51A6"/>
    <w:rsid w:val="009E2B7D"/>
    <w:rsid w:val="009E42A8"/>
    <w:rsid w:val="00A03778"/>
    <w:rsid w:val="00A10FC3"/>
    <w:rsid w:val="00A26190"/>
    <w:rsid w:val="00A47B05"/>
    <w:rsid w:val="00A56FF6"/>
    <w:rsid w:val="00A6073E"/>
    <w:rsid w:val="00A6748E"/>
    <w:rsid w:val="00A71E37"/>
    <w:rsid w:val="00A74A1F"/>
    <w:rsid w:val="00AA03D7"/>
    <w:rsid w:val="00AC41A5"/>
    <w:rsid w:val="00AD5D48"/>
    <w:rsid w:val="00AE5567"/>
    <w:rsid w:val="00AF1239"/>
    <w:rsid w:val="00AF161A"/>
    <w:rsid w:val="00B05042"/>
    <w:rsid w:val="00B07F4D"/>
    <w:rsid w:val="00B16480"/>
    <w:rsid w:val="00B20847"/>
    <w:rsid w:val="00B2165C"/>
    <w:rsid w:val="00B22496"/>
    <w:rsid w:val="00B33F42"/>
    <w:rsid w:val="00B46C07"/>
    <w:rsid w:val="00B65262"/>
    <w:rsid w:val="00B87D04"/>
    <w:rsid w:val="00B9120B"/>
    <w:rsid w:val="00B922A0"/>
    <w:rsid w:val="00BA20AA"/>
    <w:rsid w:val="00BB28E9"/>
    <w:rsid w:val="00BB4162"/>
    <w:rsid w:val="00BD4425"/>
    <w:rsid w:val="00BD4CA3"/>
    <w:rsid w:val="00BD6123"/>
    <w:rsid w:val="00BE7C77"/>
    <w:rsid w:val="00BF1815"/>
    <w:rsid w:val="00C24F8E"/>
    <w:rsid w:val="00C25B49"/>
    <w:rsid w:val="00C333EE"/>
    <w:rsid w:val="00C46B76"/>
    <w:rsid w:val="00C801C3"/>
    <w:rsid w:val="00C824C1"/>
    <w:rsid w:val="00CA0865"/>
    <w:rsid w:val="00CA2DC4"/>
    <w:rsid w:val="00CB3FFB"/>
    <w:rsid w:val="00CB7E85"/>
    <w:rsid w:val="00CC0D2D"/>
    <w:rsid w:val="00CC1847"/>
    <w:rsid w:val="00CD4411"/>
    <w:rsid w:val="00CD457E"/>
    <w:rsid w:val="00CE5657"/>
    <w:rsid w:val="00CE7E0C"/>
    <w:rsid w:val="00D133F8"/>
    <w:rsid w:val="00D14A3E"/>
    <w:rsid w:val="00D3075A"/>
    <w:rsid w:val="00D3719F"/>
    <w:rsid w:val="00D57FE2"/>
    <w:rsid w:val="00D6616A"/>
    <w:rsid w:val="00D77A37"/>
    <w:rsid w:val="00DD4B6C"/>
    <w:rsid w:val="00DE3FBF"/>
    <w:rsid w:val="00DF3B93"/>
    <w:rsid w:val="00E3716B"/>
    <w:rsid w:val="00E5323B"/>
    <w:rsid w:val="00E75B9C"/>
    <w:rsid w:val="00E8749E"/>
    <w:rsid w:val="00E90C01"/>
    <w:rsid w:val="00EA486E"/>
    <w:rsid w:val="00EB26D9"/>
    <w:rsid w:val="00F24F45"/>
    <w:rsid w:val="00F57B0C"/>
    <w:rsid w:val="00F57BDE"/>
    <w:rsid w:val="00F63F2E"/>
    <w:rsid w:val="00F82835"/>
    <w:rsid w:val="00F968AB"/>
    <w:rsid w:val="00FC0201"/>
    <w:rsid w:val="00FC076B"/>
    <w:rsid w:val="00FC4F45"/>
    <w:rsid w:val="00FD3864"/>
    <w:rsid w:val="00FE27E2"/>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6AAF"/>
  <w15:docId w15:val="{1665BF29-B6B6-4D83-B176-5AB0F46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F161A"/>
    <w:rPr>
      <w:sz w:val="16"/>
      <w:szCs w:val="16"/>
    </w:rPr>
  </w:style>
  <w:style w:type="paragraph" w:styleId="CommentText">
    <w:name w:val="annotation text"/>
    <w:basedOn w:val="Normal"/>
    <w:link w:val="CommentTextChar"/>
    <w:unhideWhenUsed/>
    <w:rsid w:val="00AF161A"/>
    <w:pPr>
      <w:spacing w:line="240" w:lineRule="auto"/>
    </w:pPr>
    <w:rPr>
      <w:sz w:val="20"/>
      <w:szCs w:val="20"/>
    </w:rPr>
  </w:style>
  <w:style w:type="character" w:customStyle="1" w:styleId="CommentTextChar">
    <w:name w:val="Comment Text Char"/>
    <w:basedOn w:val="DefaultParagraphFont"/>
    <w:link w:val="CommentText"/>
    <w:rsid w:val="00AF161A"/>
    <w:rPr>
      <w:sz w:val="20"/>
      <w:szCs w:val="20"/>
    </w:rPr>
  </w:style>
  <w:style w:type="paragraph" w:styleId="CommentSubject">
    <w:name w:val="annotation subject"/>
    <w:basedOn w:val="CommentText"/>
    <w:next w:val="CommentText"/>
    <w:link w:val="CommentSubjectChar"/>
    <w:uiPriority w:val="99"/>
    <w:semiHidden/>
    <w:unhideWhenUsed/>
    <w:rsid w:val="00AF161A"/>
    <w:rPr>
      <w:b/>
      <w:bCs/>
    </w:rPr>
  </w:style>
  <w:style w:type="character" w:customStyle="1" w:styleId="CommentSubjectChar">
    <w:name w:val="Comment Subject Char"/>
    <w:basedOn w:val="CommentTextChar"/>
    <w:link w:val="CommentSubject"/>
    <w:uiPriority w:val="99"/>
    <w:semiHidden/>
    <w:rsid w:val="00AF161A"/>
    <w:rPr>
      <w:b/>
      <w:bCs/>
      <w:sz w:val="20"/>
      <w:szCs w:val="20"/>
    </w:rPr>
  </w:style>
  <w:style w:type="paragraph" w:styleId="ListParagraph">
    <w:name w:val="List Paragraph"/>
    <w:basedOn w:val="Normal"/>
    <w:uiPriority w:val="34"/>
    <w:qFormat/>
    <w:rsid w:val="00B65262"/>
    <w:pPr>
      <w:ind w:left="720"/>
      <w:contextualSpacing/>
    </w:pPr>
  </w:style>
  <w:style w:type="paragraph" w:customStyle="1" w:styleId="naiskr">
    <w:name w:val="naiskr"/>
    <w:basedOn w:val="Normal"/>
    <w:rsid w:val="0066085B"/>
    <w:pPr>
      <w:spacing w:before="75" w:after="75" w:line="240" w:lineRule="auto"/>
    </w:pPr>
    <w:rPr>
      <w:rFonts w:ascii="Times New Roman" w:eastAsia="Times New Roman" w:hAnsi="Times New Roman" w:cs="Times New Roman"/>
      <w:sz w:val="24"/>
      <w:szCs w:val="24"/>
      <w:lang w:eastAsia="lv-LV"/>
    </w:rPr>
  </w:style>
  <w:style w:type="paragraph" w:customStyle="1" w:styleId="Body">
    <w:name w:val="Body"/>
    <w:rsid w:val="0066085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7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auris.rumpe@mfa.gov.lv" TargetMode="Externa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4342598D5D06141BB9CF5F18F5FFAE9" ma:contentTypeVersion="336" ma:contentTypeDescription="Izveidot jaunu dokumentu." ma:contentTypeScope="" ma:versionID="6762c2b0ab35964e28f07ac70906baf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Ārējās tirdzniecības un ārējo ekonomisko sakaru veicināšanas departaments</TermName>
          <TermId xmlns="http://schemas.microsoft.com/office/infopath/2007/PartnerControls">c71853a5-5ede-4e09-a126-515bd69da8c5</TermId>
        </TermInfo>
      </Terms>
    </n85de85c44494d77850ec883bf791ea1>
    <amDokSaturs xmlns="801ff49e-5150-41f0-9cd7-015d16134d38">Sagatavoti grozījumi noteikumos par licenču izsniegšanu. Grozījumi paredz atvieglojumus divējāda lietojuma preču importam.</amDokSaturs>
    <TaxCatchAll xmlns="21a93588-6fe8-41e9-94dc-424b783ca979">
      <Value>1</Value>
      <Value>33</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Stratēģiskās nozīmes preču eksporta kontroles nodaļa</TermName>
          <TermId xmlns="http://schemas.microsoft.com/office/infopath/2007/PartnerControls">f8b7e0ad-1897-4e31-a5c7-f45724fc6c74</TermId>
        </TermInfo>
      </Terms>
    </aee6b300c46d41ecb957189889b62b92>
    <amLietasNumurs xmlns="801ff49e-5150-41f0-9cd7-015d16134d38" xsi:nil="true"/>
    <amSagatavotajs xmlns="801ff49e-5150-41f0-9cd7-015d16134d38">
      <UserInfo>
        <DisplayName>Nauris Rumpe</DisplayName>
        <AccountId>227</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67-122</amNumurs>
    <amPiekluvesLimenaPamatojums xmlns="801ff49e-5150-41f0-9cd7-015d16134d38" xsi:nil="true"/>
  </documentManagement>
</p:properties>
</file>

<file path=customXml/itemProps1.xml><?xml version="1.0" encoding="utf-8"?>
<ds:datastoreItem xmlns:ds="http://schemas.openxmlformats.org/officeDocument/2006/customXml" ds:itemID="{BD077D56-296F-4181-B0A5-C31354EC4F85}"/>
</file>

<file path=customXml/itemProps2.xml><?xml version="1.0" encoding="utf-8"?>
<ds:datastoreItem xmlns:ds="http://schemas.openxmlformats.org/officeDocument/2006/customXml" ds:itemID="{26F7CBEC-E9AD-4391-85AC-AB00E2820FD2}"/>
</file>

<file path=customXml/itemProps3.xml><?xml version="1.0" encoding="utf-8"?>
<ds:datastoreItem xmlns:ds="http://schemas.openxmlformats.org/officeDocument/2006/customXml" ds:itemID="{755A32C6-3877-42ED-8AFC-1AD7F35B1CC2}"/>
</file>

<file path=customXml/itemProps4.xml><?xml version="1.0" encoding="utf-8"?>
<ds:datastoreItem xmlns:ds="http://schemas.openxmlformats.org/officeDocument/2006/customXml" ds:itemID="{11327CB9-98A9-4926-8F3C-79E2726D5B68}"/>
</file>

<file path=customXml/itemProps5.xml><?xml version="1.0" encoding="utf-8"?>
<ds:datastoreItem xmlns:ds="http://schemas.openxmlformats.org/officeDocument/2006/customXml" ds:itemID="{D832D025-3705-45FF-B32F-6C3DCA6C1CA8}"/>
</file>

<file path=customXml/itemProps6.xml><?xml version="1.0" encoding="utf-8"?>
<ds:datastoreItem xmlns:ds="http://schemas.openxmlformats.org/officeDocument/2006/customXml" ds:itemID="{D00DC36D-5D92-4D2E-9A88-D063106D9F43}"/>
</file>

<file path=docProps/app.xml><?xml version="1.0" encoding="utf-8"?>
<Properties xmlns="http://schemas.openxmlformats.org/officeDocument/2006/extended-properties" xmlns:vt="http://schemas.openxmlformats.org/officeDocument/2006/docPropsVTypes">
  <Template>Normal</Template>
  <TotalTime>438</TotalTime>
  <Pages>7</Pages>
  <Words>8863</Words>
  <Characters>5052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Nauris Rumpe</dc:creator>
  <dc:description>67016430_x000d_
nauris.rumpe@mfa.gov.lv</dc:description>
  <cp:lastModifiedBy>Nauris Rumpe</cp:lastModifiedBy>
  <cp:revision>96</cp:revision>
  <cp:lastPrinted>2020-12-15T09:39:00Z</cp:lastPrinted>
  <dcterms:created xsi:type="dcterms:W3CDTF">2020-07-09T08:57:00Z</dcterms:created>
  <dcterms:modified xsi:type="dcterms:W3CDTF">2020-12-21T10:34:00Z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0x010100B1C2858224DA4374904E017A8E9DA54800B4342598D5D06141BB9CF5F18F5FFAE9</vt:lpwstr>
  </property>
  <property fmtid="{D5CDD505-2E9C-101B-9397-08002B2CF9AE}" pid="3" name="amStrukturvieniba">
    <vt:lpwstr>33;#Stratēģiskās nozīmes preču eksporta kontroles nodaļa|f8b7e0ad-1897-4e31-a5c7-f45724fc6c74</vt:lpwstr>
  </property>
  <property fmtid="{D5CDD505-2E9C-101B-9397-08002B2CF9AE}" pid="4" name="amRegistrStrukturvieniba">
    <vt:lpwstr>1;#Ārējās tirdzniecības un ārējo ekonomisko sakaru veicināšanas departaments|c71853a5-5ede-4e09-a126-515bd69da8c5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